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F7908" w14:textId="05D19AAC" w:rsidR="00EB1607" w:rsidRPr="009E3763" w:rsidRDefault="00587D53" w:rsidP="000C662C">
      <w:pPr>
        <w:jc w:val="center"/>
        <w:rPr>
          <w:b/>
          <w:sz w:val="26"/>
          <w:szCs w:val="26"/>
        </w:rPr>
      </w:pPr>
      <w:bookmarkStart w:id="0" w:name="_GoBack"/>
      <w:bookmarkEnd w:id="0"/>
      <w:r w:rsidRPr="009E3763">
        <w:rPr>
          <w:b/>
          <w:sz w:val="26"/>
          <w:szCs w:val="26"/>
        </w:rPr>
        <w:t>PHỤ LỤC</w:t>
      </w:r>
    </w:p>
    <w:p w14:paraId="2423A193" w14:textId="168F1471" w:rsidR="00EE25B0" w:rsidRPr="009E3763" w:rsidRDefault="00EE25B0" w:rsidP="000C662C">
      <w:pPr>
        <w:widowControl w:val="0"/>
        <w:jc w:val="center"/>
        <w:rPr>
          <w:bCs/>
          <w:i/>
          <w:iCs/>
          <w:sz w:val="26"/>
          <w:szCs w:val="26"/>
        </w:rPr>
      </w:pPr>
      <w:r w:rsidRPr="009E3763">
        <w:rPr>
          <w:bCs/>
          <w:i/>
          <w:iCs/>
          <w:sz w:val="26"/>
          <w:szCs w:val="26"/>
        </w:rPr>
        <w:t xml:space="preserve">(Kèm </w:t>
      </w:r>
      <w:r w:rsidR="00544C1C" w:rsidRPr="009E3763">
        <w:rPr>
          <w:bCs/>
          <w:i/>
          <w:iCs/>
          <w:sz w:val="26"/>
          <w:szCs w:val="26"/>
        </w:rPr>
        <w:t xml:space="preserve">theo </w:t>
      </w:r>
      <w:r w:rsidRPr="009E3763">
        <w:rPr>
          <w:bCs/>
          <w:i/>
          <w:iCs/>
          <w:sz w:val="26"/>
          <w:szCs w:val="26"/>
        </w:rPr>
        <w:t>Báo cáo</w:t>
      </w:r>
      <w:r w:rsidR="00544C1C" w:rsidRPr="009E3763">
        <w:rPr>
          <w:bCs/>
          <w:i/>
          <w:iCs/>
          <w:sz w:val="26"/>
          <w:szCs w:val="26"/>
        </w:rPr>
        <w:t xml:space="preserve"> </w:t>
      </w:r>
      <w:r w:rsidR="00426698" w:rsidRPr="009E3763">
        <w:rPr>
          <w:bCs/>
          <w:i/>
          <w:iCs/>
          <w:sz w:val="26"/>
          <w:szCs w:val="26"/>
        </w:rPr>
        <w:t xml:space="preserve">số </w:t>
      </w:r>
      <w:r w:rsidR="000E53C5" w:rsidRPr="009E3763">
        <w:rPr>
          <w:bCs/>
          <w:i/>
          <w:iCs/>
          <w:sz w:val="26"/>
          <w:szCs w:val="26"/>
        </w:rPr>
        <w:t xml:space="preserve">          /BC-STC ngày       /     /2026</w:t>
      </w:r>
      <w:r w:rsidR="00426698" w:rsidRPr="009E3763">
        <w:rPr>
          <w:bCs/>
          <w:i/>
          <w:iCs/>
          <w:sz w:val="26"/>
          <w:szCs w:val="26"/>
        </w:rPr>
        <w:t xml:space="preserve"> của Sở Tài chính</w:t>
      </w:r>
      <w:r w:rsidR="0065335A" w:rsidRPr="009E3763">
        <w:rPr>
          <w:bCs/>
          <w:i/>
          <w:iCs/>
          <w:sz w:val="26"/>
          <w:szCs w:val="26"/>
        </w:rPr>
        <w:t xml:space="preserve"> về đánh giá thực trạng QHXH</w:t>
      </w:r>
      <w:r w:rsidRPr="009E3763">
        <w:rPr>
          <w:bCs/>
          <w:i/>
          <w:iCs/>
          <w:sz w:val="26"/>
          <w:szCs w:val="26"/>
        </w:rPr>
        <w:t>)</w:t>
      </w:r>
    </w:p>
    <w:p w14:paraId="6B7801D2" w14:textId="77777777" w:rsidR="00F64B87" w:rsidRPr="009E3763" w:rsidRDefault="00F64B87" w:rsidP="00DF6850">
      <w:pPr>
        <w:spacing w:before="120" w:after="240"/>
        <w:ind w:firstLine="142"/>
        <w:rPr>
          <w:b/>
          <w:sz w:val="26"/>
          <w:szCs w:val="26"/>
        </w:rPr>
      </w:pPr>
      <w:r w:rsidRPr="009E3763">
        <w:rPr>
          <w:b/>
          <w:sz w:val="26"/>
          <w:szCs w:val="26"/>
        </w:rPr>
        <w:t>1.</w:t>
      </w:r>
      <w:r w:rsidR="00457535" w:rsidRPr="009E3763">
        <w:rPr>
          <w:b/>
          <w:sz w:val="26"/>
          <w:szCs w:val="26"/>
        </w:rPr>
        <w:t xml:space="preserve"> </w:t>
      </w:r>
      <w:bookmarkStart w:id="1" w:name="_Hlk231464831"/>
      <w:r w:rsidRPr="009E3763">
        <w:rPr>
          <w:b/>
          <w:sz w:val="26"/>
          <w:szCs w:val="26"/>
        </w:rPr>
        <w:t>Chủ trương, đường lối của Đảng có liên quan đến chính sách</w:t>
      </w:r>
    </w:p>
    <w:tbl>
      <w:tblPr>
        <w:tblStyle w:val="TableGrid"/>
        <w:tblW w:w="14596" w:type="dxa"/>
        <w:jc w:val="center"/>
        <w:tblLook w:val="04A0" w:firstRow="1" w:lastRow="0" w:firstColumn="1" w:lastColumn="0" w:noHBand="0" w:noVBand="1"/>
      </w:tblPr>
      <w:tblGrid>
        <w:gridCol w:w="4407"/>
        <w:gridCol w:w="4519"/>
        <w:gridCol w:w="2994"/>
        <w:gridCol w:w="2676"/>
      </w:tblGrid>
      <w:tr w:rsidR="00B32393" w:rsidRPr="002639A8" w14:paraId="6F5BDBE5" w14:textId="77777777" w:rsidTr="00E76D7B">
        <w:trPr>
          <w:trHeight w:val="1075"/>
          <w:tblHeader/>
          <w:jc w:val="center"/>
        </w:trPr>
        <w:tc>
          <w:tcPr>
            <w:tcW w:w="4407" w:type="dxa"/>
            <w:vAlign w:val="center"/>
          </w:tcPr>
          <w:p w14:paraId="75EACF58" w14:textId="77777777" w:rsidR="00F64B87" w:rsidRPr="002639A8" w:rsidRDefault="00F64B87" w:rsidP="000C662C">
            <w:pPr>
              <w:jc w:val="center"/>
              <w:rPr>
                <w:b/>
              </w:rPr>
            </w:pPr>
            <w:r w:rsidRPr="002639A8">
              <w:rPr>
                <w:b/>
              </w:rPr>
              <w:t>CHỦ TRƯƠNG, ĐƯỜNG LỐI CỦA ĐẢNG</w:t>
            </w:r>
          </w:p>
        </w:tc>
        <w:tc>
          <w:tcPr>
            <w:tcW w:w="4519" w:type="dxa"/>
            <w:vAlign w:val="center"/>
          </w:tcPr>
          <w:p w14:paraId="4C215F20" w14:textId="77777777" w:rsidR="00F64B87" w:rsidRPr="002639A8" w:rsidRDefault="00B934F0" w:rsidP="005827A9">
            <w:pPr>
              <w:jc w:val="center"/>
              <w:rPr>
                <w:b/>
              </w:rPr>
            </w:pPr>
            <w:r w:rsidRPr="002639A8">
              <w:rPr>
                <w:b/>
              </w:rPr>
              <w:t>CHÍNH SÁCH/QUY ĐỊNH CỦA DỰ THẢO</w:t>
            </w:r>
          </w:p>
        </w:tc>
        <w:tc>
          <w:tcPr>
            <w:tcW w:w="2994" w:type="dxa"/>
            <w:vAlign w:val="center"/>
          </w:tcPr>
          <w:p w14:paraId="374B27B7" w14:textId="77777777" w:rsidR="009B2562" w:rsidRPr="002639A8" w:rsidRDefault="00B934F0" w:rsidP="00E76D7B">
            <w:pPr>
              <w:jc w:val="center"/>
              <w:rPr>
                <w:b/>
              </w:rPr>
            </w:pPr>
            <w:r w:rsidRPr="002639A8">
              <w:rPr>
                <w:b/>
              </w:rPr>
              <w:t>ĐÁNH GIÁ</w:t>
            </w:r>
          </w:p>
          <w:p w14:paraId="593F7032" w14:textId="77777777" w:rsidR="00F64B87" w:rsidRPr="002639A8" w:rsidRDefault="00B934F0" w:rsidP="00E76D7B">
            <w:pPr>
              <w:jc w:val="center"/>
              <w:rPr>
                <w:b/>
              </w:rPr>
            </w:pPr>
            <w:r w:rsidRPr="002639A8">
              <w:rPr>
                <w:b/>
              </w:rPr>
              <w:t>(Đã thể chế đầy đủ hoặc một phần)</w:t>
            </w:r>
          </w:p>
        </w:tc>
        <w:tc>
          <w:tcPr>
            <w:tcW w:w="2676" w:type="dxa"/>
            <w:vAlign w:val="center"/>
          </w:tcPr>
          <w:p w14:paraId="71C00A66" w14:textId="77777777" w:rsidR="00F64B87" w:rsidRPr="002639A8" w:rsidRDefault="00B934F0" w:rsidP="000C662C">
            <w:pPr>
              <w:jc w:val="center"/>
              <w:rPr>
                <w:b/>
              </w:rPr>
            </w:pPr>
            <w:r w:rsidRPr="002639A8">
              <w:rPr>
                <w:b/>
              </w:rPr>
              <w:t>ĐỀ XUẤT XỬ LÝ</w:t>
            </w:r>
          </w:p>
        </w:tc>
      </w:tr>
      <w:tr w:rsidR="00DF6850" w:rsidRPr="002639A8" w14:paraId="2F7A1DE7" w14:textId="77777777" w:rsidTr="00E76D7B">
        <w:trPr>
          <w:trHeight w:val="3183"/>
          <w:jc w:val="center"/>
        </w:trPr>
        <w:tc>
          <w:tcPr>
            <w:tcW w:w="4407" w:type="dxa"/>
            <w:vAlign w:val="center"/>
          </w:tcPr>
          <w:p w14:paraId="1B336427" w14:textId="4AF85B0C" w:rsidR="00DF6850" w:rsidRPr="002639A8" w:rsidRDefault="008647F3" w:rsidP="00DF6850">
            <w:pPr>
              <w:rPr>
                <w:bCs/>
                <w:bdr w:val="none" w:sz="0" w:space="0" w:color="auto" w:frame="1"/>
                <w:lang w:val="sv-SE"/>
              </w:rPr>
            </w:pPr>
            <w:r w:rsidRPr="002639A8">
              <w:rPr>
                <w:bCs/>
                <w:color w:val="000000"/>
                <w:lang w:val="it-IT"/>
              </w:rPr>
              <w:t>Nghị quyết số 02-NQ/TW ngày 17 tháng 3 năm 2026 của Bộ Chính trị về xây dựng và phát triển Thủ đô Hà Nội trong kỷ nguyên mới</w:t>
            </w:r>
            <w:r w:rsidR="009E3763" w:rsidRPr="002639A8">
              <w:rPr>
                <w:bCs/>
                <w:color w:val="000000"/>
                <w:lang w:val="it-IT"/>
              </w:rPr>
              <w:t>.</w:t>
            </w:r>
          </w:p>
        </w:tc>
        <w:tc>
          <w:tcPr>
            <w:tcW w:w="4519" w:type="dxa"/>
            <w:vAlign w:val="center"/>
          </w:tcPr>
          <w:p w14:paraId="79256F42" w14:textId="10EC0E96" w:rsidR="00DF6850" w:rsidRPr="002639A8" w:rsidRDefault="008647F3" w:rsidP="00DF6850">
            <w:pPr>
              <w:spacing w:after="120" w:line="360" w:lineRule="exact"/>
              <w:rPr>
                <w:color w:val="000000" w:themeColor="text1"/>
                <w:lang w:val="sv-SE"/>
              </w:rPr>
            </w:pPr>
            <w:r w:rsidRPr="002639A8">
              <w:rPr>
                <w:lang w:val="it-IT"/>
              </w:rPr>
              <w:t>Dự thảo Nghị quyết quy định về</w:t>
            </w:r>
            <w:r w:rsidRPr="002639A8">
              <w:rPr>
                <w:spacing w:val="-4"/>
                <w:lang w:val="it-IT"/>
              </w:rPr>
              <w:t xml:space="preserve"> thực hiện Chương trình mục tiêu quốc gia xây dựng nông thôn mới, giảm nghèo bền vững và phát triển kinh tế -xã hội vùng đồng bào dân tộc thiểu số và miền núi giai đoạn 2026-2030 trên địa bàn thành phố Hà Nội</w:t>
            </w:r>
            <w:r w:rsidR="009E3763" w:rsidRPr="002639A8">
              <w:rPr>
                <w:spacing w:val="-4"/>
                <w:lang w:val="it-IT"/>
              </w:rPr>
              <w:t>.</w:t>
            </w:r>
          </w:p>
        </w:tc>
        <w:tc>
          <w:tcPr>
            <w:tcW w:w="2994" w:type="dxa"/>
            <w:vAlign w:val="center"/>
          </w:tcPr>
          <w:p w14:paraId="2C2A3036" w14:textId="2C17DBAA" w:rsidR="00DF6850" w:rsidRPr="002639A8" w:rsidRDefault="00DF6850" w:rsidP="00E76D7B">
            <w:pPr>
              <w:spacing w:before="100" w:beforeAutospacing="1" w:after="100" w:afterAutospacing="1"/>
              <w:rPr>
                <w:lang w:val="sv-SE"/>
              </w:rPr>
            </w:pPr>
            <w:r w:rsidRPr="002639A8">
              <w:rPr>
                <w:lang w:val="sv-SE"/>
              </w:rPr>
              <w:t>Đã thể chế hóa đầy đủ chủ trương của Đảng về ưu tiên nguồn lực cho phát triển nông nghiệp, nông dân, nông thôn.</w:t>
            </w:r>
          </w:p>
        </w:tc>
        <w:tc>
          <w:tcPr>
            <w:tcW w:w="2676" w:type="dxa"/>
            <w:vAlign w:val="center"/>
          </w:tcPr>
          <w:p w14:paraId="69885D8F" w14:textId="2A52E239" w:rsidR="00DF6850" w:rsidRPr="002639A8" w:rsidRDefault="00DF6850" w:rsidP="00DF6850">
            <w:pPr>
              <w:rPr>
                <w:lang w:val="sv-SE"/>
              </w:rPr>
            </w:pPr>
            <w:r w:rsidRPr="002639A8">
              <w:rPr>
                <w:lang w:val="sv-SE"/>
              </w:rPr>
              <w:t>Tiếp tục kế thừa trong dự thảo Nghị quyết.</w:t>
            </w:r>
          </w:p>
        </w:tc>
      </w:tr>
      <w:tr w:rsidR="008647F3" w:rsidRPr="002639A8" w14:paraId="47E652AA" w14:textId="77777777" w:rsidTr="00E76D7B">
        <w:trPr>
          <w:trHeight w:val="1984"/>
          <w:jc w:val="center"/>
        </w:trPr>
        <w:tc>
          <w:tcPr>
            <w:tcW w:w="4407" w:type="dxa"/>
            <w:vAlign w:val="center"/>
          </w:tcPr>
          <w:p w14:paraId="05BB03B9" w14:textId="34C9AAEF" w:rsidR="008647F3" w:rsidRPr="002639A8" w:rsidRDefault="008647F3" w:rsidP="008647F3">
            <w:pPr>
              <w:rPr>
                <w:bCs/>
                <w:bdr w:val="none" w:sz="0" w:space="0" w:color="auto" w:frame="1"/>
                <w:lang w:val="sv-SE"/>
              </w:rPr>
            </w:pPr>
            <w:r w:rsidRPr="002639A8">
              <w:rPr>
                <w:bCs/>
                <w:color w:val="000000"/>
                <w:lang w:val="it-IT"/>
              </w:rPr>
              <w:t>Nghị quyết số 70/2025/UBTVQH15 của Ủy ban Thường vụ Quốc hội quy định nguyên tắc, tiêu chí, định mức phân bổ vốn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2026-2030</w:t>
            </w:r>
            <w:r w:rsidR="009E3763" w:rsidRPr="002639A8">
              <w:rPr>
                <w:bCs/>
                <w:color w:val="000000"/>
                <w:lang w:val="it-IT"/>
              </w:rPr>
              <w:t>.</w:t>
            </w:r>
          </w:p>
        </w:tc>
        <w:tc>
          <w:tcPr>
            <w:tcW w:w="4519" w:type="dxa"/>
            <w:vAlign w:val="center"/>
          </w:tcPr>
          <w:p w14:paraId="728A70CC" w14:textId="37AF68EB" w:rsidR="008647F3" w:rsidRPr="002639A8" w:rsidRDefault="008647F3" w:rsidP="008647F3">
            <w:pPr>
              <w:tabs>
                <w:tab w:val="left" w:pos="567"/>
                <w:tab w:val="left" w:pos="1134"/>
                <w:tab w:val="left" w:pos="1418"/>
              </w:tabs>
              <w:rPr>
                <w:bCs/>
                <w:lang w:val="sv-SE"/>
              </w:rPr>
            </w:pPr>
            <w:r w:rsidRPr="002639A8">
              <w:rPr>
                <w:lang w:val="sv-SE"/>
              </w:rPr>
              <w:t>Dự thảo Nghị quyết quy định nguyên tắc, tiêu chí, định mức phân bổ vốn làm căn cứ lập kế hoạch, phân bổ và quản lý nguồn lực đối với Chương trình MTQG xây dựng nông thôn mới</w:t>
            </w:r>
            <w:r w:rsidR="009E3763" w:rsidRPr="002639A8">
              <w:rPr>
                <w:lang w:val="sv-SE"/>
              </w:rPr>
              <w:t>.</w:t>
            </w:r>
          </w:p>
        </w:tc>
        <w:tc>
          <w:tcPr>
            <w:tcW w:w="2994" w:type="dxa"/>
            <w:vAlign w:val="center"/>
          </w:tcPr>
          <w:p w14:paraId="441642D6" w14:textId="5F58CDE5" w:rsidR="008647F3" w:rsidRPr="002639A8" w:rsidRDefault="008647F3" w:rsidP="00E76D7B">
            <w:pPr>
              <w:spacing w:before="100" w:beforeAutospacing="1" w:after="100" w:afterAutospacing="1"/>
              <w:rPr>
                <w:lang w:val="sv-SE"/>
              </w:rPr>
            </w:pPr>
            <w:r w:rsidRPr="002639A8">
              <w:rPr>
                <w:lang w:val="sv-SE"/>
              </w:rPr>
              <w:t>Đã thể chế hóa đầy đủ quy định của Trung ương, phù hợp với tình hình triển khai của Hà Nội</w:t>
            </w:r>
            <w:r w:rsidR="009E3763" w:rsidRPr="002639A8">
              <w:rPr>
                <w:lang w:val="sv-SE"/>
              </w:rPr>
              <w:t>.</w:t>
            </w:r>
          </w:p>
        </w:tc>
        <w:tc>
          <w:tcPr>
            <w:tcW w:w="2676" w:type="dxa"/>
            <w:vAlign w:val="center"/>
          </w:tcPr>
          <w:p w14:paraId="250EE7FB" w14:textId="7521BF55" w:rsidR="008647F3" w:rsidRPr="002639A8" w:rsidRDefault="008647F3" w:rsidP="008647F3">
            <w:pPr>
              <w:rPr>
                <w:lang w:val="sv-SE"/>
              </w:rPr>
            </w:pPr>
            <w:r w:rsidRPr="002639A8">
              <w:rPr>
                <w:lang w:val="sv-SE"/>
              </w:rPr>
              <w:t>Tiếp tục kế thừa trong dự thảo Nghị quyết.</w:t>
            </w:r>
          </w:p>
        </w:tc>
      </w:tr>
      <w:tr w:rsidR="008647F3" w:rsidRPr="002639A8" w14:paraId="39B2B595" w14:textId="77777777" w:rsidTr="00E76D7B">
        <w:trPr>
          <w:trHeight w:val="1166"/>
          <w:jc w:val="center"/>
        </w:trPr>
        <w:tc>
          <w:tcPr>
            <w:tcW w:w="4407" w:type="dxa"/>
            <w:vAlign w:val="center"/>
          </w:tcPr>
          <w:p w14:paraId="6FDCBF34" w14:textId="56B92DD5" w:rsidR="008647F3" w:rsidRPr="002639A8" w:rsidRDefault="008647F3" w:rsidP="008647F3">
            <w:pPr>
              <w:rPr>
                <w:bCs/>
                <w:bdr w:val="none" w:sz="0" w:space="0" w:color="auto" w:frame="1"/>
                <w:lang w:val="sv-SE"/>
              </w:rPr>
            </w:pPr>
            <w:r w:rsidRPr="002639A8">
              <w:rPr>
                <w:bCs/>
                <w:color w:val="000000"/>
                <w:lang w:val="it-IT"/>
              </w:rPr>
              <w:t xml:space="preserve">Nghị quyết số 257/2025/QH15 ngày 11 tháng 12 năm 2025 của Quốc hội phê duyệt chủ trương đầu tư Chương trình mục tiêu quốc gia xây dựng nông thôn mới, giảm </w:t>
            </w:r>
            <w:r w:rsidRPr="002639A8">
              <w:rPr>
                <w:bCs/>
                <w:color w:val="000000"/>
                <w:lang w:val="it-IT"/>
              </w:rPr>
              <w:lastRenderedPageBreak/>
              <w:t>nghèo bền vững và phát triển kinh tế - xã hội vùng đồng bào dân tộc thiểu số và miền núi giai đoạn 2026-2035</w:t>
            </w:r>
          </w:p>
        </w:tc>
        <w:tc>
          <w:tcPr>
            <w:tcW w:w="4519" w:type="dxa"/>
            <w:vAlign w:val="center"/>
          </w:tcPr>
          <w:p w14:paraId="02A02927" w14:textId="367436D3" w:rsidR="008647F3" w:rsidRPr="002639A8" w:rsidRDefault="008647F3" w:rsidP="008647F3">
            <w:pPr>
              <w:tabs>
                <w:tab w:val="left" w:pos="567"/>
                <w:tab w:val="left" w:pos="1134"/>
                <w:tab w:val="left" w:pos="1418"/>
              </w:tabs>
              <w:rPr>
                <w:bCs/>
                <w:lang w:val="sv-SE"/>
              </w:rPr>
            </w:pPr>
            <w:r w:rsidRPr="002639A8">
              <w:rPr>
                <w:lang w:val="sv-SE"/>
              </w:rPr>
              <w:lastRenderedPageBreak/>
              <w:t xml:space="preserve">Dự thảo Nghị quyết của HĐND Thành phố quy định nguyên tắc, tiêu chí, định mức phân bổ vốn làm căn cứ lập kế hoạch, phân </w:t>
            </w:r>
            <w:r w:rsidRPr="002639A8">
              <w:rPr>
                <w:lang w:val="sv-SE"/>
              </w:rPr>
              <w:lastRenderedPageBreak/>
              <w:t>bổ và quản lý nguồn lực đối với Chương trình MTQG xây dựng nông thôn mới</w:t>
            </w:r>
          </w:p>
        </w:tc>
        <w:tc>
          <w:tcPr>
            <w:tcW w:w="2994" w:type="dxa"/>
            <w:vAlign w:val="center"/>
          </w:tcPr>
          <w:p w14:paraId="55576900" w14:textId="7DE6614B" w:rsidR="008647F3" w:rsidRPr="002639A8" w:rsidRDefault="008647F3" w:rsidP="00E76D7B">
            <w:pPr>
              <w:spacing w:before="100" w:beforeAutospacing="1" w:after="100" w:afterAutospacing="1"/>
              <w:rPr>
                <w:lang w:val="sv-SE"/>
              </w:rPr>
            </w:pPr>
            <w:r w:rsidRPr="002639A8">
              <w:rPr>
                <w:lang w:val="sv-SE"/>
              </w:rPr>
              <w:lastRenderedPageBreak/>
              <w:t>Đã thể chế hóa đầy đủ</w:t>
            </w:r>
          </w:p>
        </w:tc>
        <w:tc>
          <w:tcPr>
            <w:tcW w:w="2676" w:type="dxa"/>
            <w:vAlign w:val="center"/>
          </w:tcPr>
          <w:p w14:paraId="156408CF" w14:textId="3B5F6288" w:rsidR="008647F3" w:rsidRPr="002639A8" w:rsidRDefault="008647F3" w:rsidP="008647F3">
            <w:pPr>
              <w:rPr>
                <w:lang w:val="sv-SE"/>
              </w:rPr>
            </w:pPr>
            <w:r w:rsidRPr="002639A8">
              <w:rPr>
                <w:lang w:val="sv-SE"/>
              </w:rPr>
              <w:t>Tiếp tục kế thừa và quy định cụ thể, chi tiết tại Thành phố.</w:t>
            </w:r>
          </w:p>
        </w:tc>
      </w:tr>
      <w:tr w:rsidR="00667470" w:rsidRPr="002639A8" w14:paraId="19B63001" w14:textId="77777777" w:rsidTr="00E76D7B">
        <w:trPr>
          <w:trHeight w:val="1541"/>
          <w:jc w:val="center"/>
        </w:trPr>
        <w:tc>
          <w:tcPr>
            <w:tcW w:w="4407" w:type="dxa"/>
            <w:vAlign w:val="center"/>
          </w:tcPr>
          <w:p w14:paraId="2B307E9C" w14:textId="44F3871F" w:rsidR="00667470" w:rsidRPr="002639A8" w:rsidRDefault="008647F3" w:rsidP="00667470">
            <w:pPr>
              <w:rPr>
                <w:bCs/>
                <w:bdr w:val="none" w:sz="0" w:space="0" w:color="auto" w:frame="1"/>
                <w:lang w:val="sv-SE"/>
              </w:rPr>
            </w:pPr>
            <w:r w:rsidRPr="002639A8">
              <w:rPr>
                <w:bCs/>
                <w:color w:val="000000"/>
                <w:spacing w:val="-8"/>
                <w:lang w:val="it-IT"/>
              </w:rPr>
              <w:lastRenderedPageBreak/>
              <w:t>Quyết định số 51/2025/QĐ-TTg ngày 29 tháng 12 năm 2025 của Thủ tướng Chính phủ ban hành Bộ tiêu chí quốc gia về nông thôn mới giai đoạn 2026-2030</w:t>
            </w:r>
          </w:p>
        </w:tc>
        <w:tc>
          <w:tcPr>
            <w:tcW w:w="4519" w:type="dxa"/>
            <w:vAlign w:val="center"/>
          </w:tcPr>
          <w:p w14:paraId="7E75E695" w14:textId="7D37A745" w:rsidR="00667470" w:rsidRPr="002639A8" w:rsidRDefault="008647F3" w:rsidP="00667470">
            <w:pPr>
              <w:tabs>
                <w:tab w:val="left" w:pos="567"/>
                <w:tab w:val="left" w:pos="1134"/>
                <w:tab w:val="left" w:pos="1418"/>
              </w:tabs>
              <w:rPr>
                <w:bCs/>
                <w:lang w:val="sv-SE"/>
              </w:rPr>
            </w:pPr>
            <w:r w:rsidRPr="002639A8">
              <w:rPr>
                <w:bCs/>
                <w:lang w:val="sv-SE"/>
              </w:rPr>
              <w:t xml:space="preserve">Dự thảo Nghị quyết quy định mức phân bổ vốn để đảm bảo </w:t>
            </w:r>
            <w:r w:rsidR="002C771F" w:rsidRPr="002639A8">
              <w:rPr>
                <w:bCs/>
                <w:lang w:val="sv-SE"/>
              </w:rPr>
              <w:t xml:space="preserve">việc đầu tư xây dựng đáp ứng </w:t>
            </w:r>
            <w:r w:rsidR="002C771F" w:rsidRPr="002639A8">
              <w:rPr>
                <w:bCs/>
                <w:color w:val="000000"/>
                <w:spacing w:val="-8"/>
                <w:lang w:val="it-IT"/>
              </w:rPr>
              <w:t>Bộ tiêu chí quốc gia về nông thôn mới giai đoạn 2026-2030 theo Quyết định của Thủ tướng</w:t>
            </w:r>
          </w:p>
        </w:tc>
        <w:tc>
          <w:tcPr>
            <w:tcW w:w="2994" w:type="dxa"/>
            <w:vAlign w:val="center"/>
          </w:tcPr>
          <w:p w14:paraId="0C1BE003" w14:textId="4A2B87E1" w:rsidR="00667470" w:rsidRPr="002639A8" w:rsidRDefault="00667470" w:rsidP="00E76D7B">
            <w:pPr>
              <w:spacing w:before="100" w:beforeAutospacing="1" w:after="100" w:afterAutospacing="1"/>
              <w:rPr>
                <w:lang w:val="sv-SE"/>
              </w:rPr>
            </w:pPr>
            <w:r w:rsidRPr="002639A8">
              <w:rPr>
                <w:lang w:val="sv-SE"/>
              </w:rPr>
              <w:t>Đã thể chế hóa đầy đủ.</w:t>
            </w:r>
          </w:p>
        </w:tc>
        <w:tc>
          <w:tcPr>
            <w:tcW w:w="2676" w:type="dxa"/>
            <w:vAlign w:val="center"/>
          </w:tcPr>
          <w:p w14:paraId="246D8C90" w14:textId="475EB425" w:rsidR="00667470" w:rsidRPr="002639A8" w:rsidRDefault="00667470" w:rsidP="00667470">
            <w:r w:rsidRPr="002639A8">
              <w:t>Tiếp tục kế thừa</w:t>
            </w:r>
          </w:p>
        </w:tc>
      </w:tr>
      <w:bookmarkEnd w:id="1"/>
    </w:tbl>
    <w:p w14:paraId="3FF9B838" w14:textId="77777777" w:rsidR="00E867AB" w:rsidRPr="009E3763" w:rsidRDefault="00E867AB" w:rsidP="000C662C">
      <w:pPr>
        <w:spacing w:before="240"/>
        <w:rPr>
          <w:b/>
          <w:sz w:val="26"/>
          <w:szCs w:val="26"/>
        </w:rPr>
      </w:pPr>
    </w:p>
    <w:p w14:paraId="7AD9F06B" w14:textId="19AC6DA5" w:rsidR="009445CB" w:rsidRPr="009E3763" w:rsidRDefault="00E867AB" w:rsidP="00667470">
      <w:pPr>
        <w:rPr>
          <w:b/>
          <w:sz w:val="26"/>
          <w:szCs w:val="26"/>
        </w:rPr>
      </w:pPr>
      <w:r w:rsidRPr="009E3763">
        <w:rPr>
          <w:b/>
          <w:sz w:val="26"/>
          <w:szCs w:val="26"/>
        </w:rPr>
        <w:br w:type="page"/>
      </w:r>
      <w:r w:rsidR="009445CB" w:rsidRPr="009E3763">
        <w:rPr>
          <w:b/>
          <w:sz w:val="26"/>
          <w:szCs w:val="26"/>
        </w:rPr>
        <w:lastRenderedPageBreak/>
        <w:t>2.</w:t>
      </w:r>
      <w:r w:rsidR="0064515F" w:rsidRPr="009E3763">
        <w:rPr>
          <w:b/>
          <w:sz w:val="26"/>
          <w:szCs w:val="26"/>
        </w:rPr>
        <w:t xml:space="preserve"> </w:t>
      </w:r>
      <w:r w:rsidR="009445CB" w:rsidRPr="009E3763">
        <w:rPr>
          <w:b/>
          <w:sz w:val="26"/>
          <w:szCs w:val="26"/>
        </w:rPr>
        <w:t>Văn bản quy phạm pháp luật có liên quan đến chính sách/dự thảo</w:t>
      </w:r>
    </w:p>
    <w:tbl>
      <w:tblPr>
        <w:tblStyle w:val="TableGrid"/>
        <w:tblW w:w="14746" w:type="dxa"/>
        <w:tblLook w:val="04A0" w:firstRow="1" w:lastRow="0" w:firstColumn="1" w:lastColumn="0" w:noHBand="0" w:noVBand="1"/>
      </w:tblPr>
      <w:tblGrid>
        <w:gridCol w:w="3969"/>
        <w:gridCol w:w="5272"/>
        <w:gridCol w:w="3178"/>
        <w:gridCol w:w="2327"/>
      </w:tblGrid>
      <w:tr w:rsidR="009445CB" w:rsidRPr="002639A8" w14:paraId="78DBF963" w14:textId="77777777" w:rsidTr="006C5E19">
        <w:trPr>
          <w:trHeight w:val="1281"/>
          <w:tblHeader/>
        </w:trPr>
        <w:tc>
          <w:tcPr>
            <w:tcW w:w="3969" w:type="dxa"/>
            <w:vAlign w:val="center"/>
          </w:tcPr>
          <w:p w14:paraId="52C66F7E" w14:textId="31B060A3" w:rsidR="002639A8" w:rsidRPr="006C5E19" w:rsidRDefault="009445CB" w:rsidP="006C5E19">
            <w:pPr>
              <w:jc w:val="center"/>
              <w:rPr>
                <w:b/>
              </w:rPr>
            </w:pPr>
            <w:r w:rsidRPr="006C5E19">
              <w:rPr>
                <w:b/>
              </w:rPr>
              <w:t>QUY ĐỊNH CỦA</w:t>
            </w:r>
            <w:r w:rsidR="003D0E6F" w:rsidRPr="006C5E19">
              <w:rPr>
                <w:b/>
              </w:rPr>
              <w:t xml:space="preserve"> </w:t>
            </w:r>
            <w:r w:rsidRPr="006C5E19">
              <w:rPr>
                <w:b/>
              </w:rPr>
              <w:t>DỰ THẢO</w:t>
            </w:r>
          </w:p>
          <w:p w14:paraId="15E94058" w14:textId="5EA09D7B" w:rsidR="009445CB" w:rsidRPr="006C5E19" w:rsidRDefault="009445CB" w:rsidP="006C5E19">
            <w:pPr>
              <w:jc w:val="center"/>
              <w:rPr>
                <w:b/>
              </w:rPr>
            </w:pPr>
            <w:r w:rsidRPr="006C5E19">
              <w:rPr>
                <w:b/>
              </w:rPr>
              <w:t>VĂN BẢN</w:t>
            </w:r>
          </w:p>
        </w:tc>
        <w:tc>
          <w:tcPr>
            <w:tcW w:w="5272" w:type="dxa"/>
            <w:vAlign w:val="center"/>
          </w:tcPr>
          <w:p w14:paraId="30563308" w14:textId="77777777" w:rsidR="009445CB" w:rsidRPr="002639A8" w:rsidRDefault="009445CB" w:rsidP="006C5E19">
            <w:pPr>
              <w:jc w:val="center"/>
              <w:rPr>
                <w:b/>
              </w:rPr>
            </w:pPr>
            <w:r w:rsidRPr="002639A8">
              <w:rPr>
                <w:b/>
              </w:rPr>
              <w:t>QUY ĐỊNH CỦA PHÁP LUẬT HIỆN HÀNH CÓ LIÊN QUAN</w:t>
            </w:r>
          </w:p>
        </w:tc>
        <w:tc>
          <w:tcPr>
            <w:tcW w:w="3178" w:type="dxa"/>
            <w:vAlign w:val="center"/>
          </w:tcPr>
          <w:p w14:paraId="75F0832F" w14:textId="77777777" w:rsidR="00DB14C3" w:rsidRPr="002639A8" w:rsidRDefault="009445CB" w:rsidP="006C5E19">
            <w:pPr>
              <w:jc w:val="center"/>
              <w:rPr>
                <w:b/>
              </w:rPr>
            </w:pPr>
            <w:r w:rsidRPr="002639A8">
              <w:rPr>
                <w:b/>
              </w:rPr>
              <w:t>ĐÁNH GIÁ</w:t>
            </w:r>
          </w:p>
          <w:p w14:paraId="26E594A4" w14:textId="77777777" w:rsidR="009445CB" w:rsidRPr="002639A8" w:rsidRDefault="009445CB" w:rsidP="006C5E19">
            <w:pPr>
              <w:jc w:val="center"/>
              <w:rPr>
                <w:b/>
              </w:rPr>
            </w:pPr>
            <w:r w:rsidRPr="002639A8">
              <w:rPr>
                <w:b/>
              </w:rPr>
              <w:t>(Tính hợp hiến, tính hợp pháp, tính thống nhất)</w:t>
            </w:r>
          </w:p>
        </w:tc>
        <w:tc>
          <w:tcPr>
            <w:tcW w:w="2327" w:type="dxa"/>
            <w:vAlign w:val="center"/>
          </w:tcPr>
          <w:p w14:paraId="50842714" w14:textId="77777777" w:rsidR="009445CB" w:rsidRPr="002639A8" w:rsidRDefault="009445CB" w:rsidP="006C5E19">
            <w:pPr>
              <w:jc w:val="center"/>
              <w:rPr>
                <w:b/>
              </w:rPr>
            </w:pPr>
            <w:r w:rsidRPr="002639A8">
              <w:rPr>
                <w:b/>
              </w:rPr>
              <w:t>ĐỀ XUẤT XỬ LÝ</w:t>
            </w:r>
          </w:p>
        </w:tc>
      </w:tr>
      <w:tr w:rsidR="00667470" w:rsidRPr="002639A8" w14:paraId="28B5E02A" w14:textId="77777777" w:rsidTr="006C5E19">
        <w:trPr>
          <w:trHeight w:val="1391"/>
        </w:trPr>
        <w:tc>
          <w:tcPr>
            <w:tcW w:w="3969" w:type="dxa"/>
            <w:vAlign w:val="center"/>
          </w:tcPr>
          <w:p w14:paraId="5DD456EE" w14:textId="77777777" w:rsidR="001267B5" w:rsidRPr="006C5E19" w:rsidRDefault="001267B5" w:rsidP="006C5E19">
            <w:pPr>
              <w:jc w:val="both"/>
              <w:rPr>
                <w:bCs/>
                <w:lang w:val="sv-SE"/>
              </w:rPr>
            </w:pPr>
            <w:r w:rsidRPr="006C5E19">
              <w:rPr>
                <w:bCs/>
                <w:lang w:val="sv-SE"/>
              </w:rPr>
              <w:t>Quy định tại khoản 1 Điều 5:</w:t>
            </w:r>
          </w:p>
          <w:p w14:paraId="2D62FD6D" w14:textId="77777777" w:rsidR="006C5E19" w:rsidRPr="006C5E19" w:rsidRDefault="006C5E19" w:rsidP="006C5E19">
            <w:pPr>
              <w:spacing w:before="120" w:after="120"/>
              <w:jc w:val="both"/>
              <w:rPr>
                <w:lang w:val="vi-VN"/>
              </w:rPr>
            </w:pPr>
            <w:r w:rsidRPr="006C5E19">
              <w:rPr>
                <w:lang w:val="vi-VN"/>
              </w:rPr>
              <w:t>1. Tiêu chí, hệ số phân bổ theo đối tượng xã</w:t>
            </w:r>
          </w:p>
          <w:p w14:paraId="49A0FA64" w14:textId="77777777" w:rsidR="006C5E19" w:rsidRPr="006C5E19" w:rsidRDefault="006C5E19" w:rsidP="006C5E19">
            <w:pPr>
              <w:spacing w:before="120" w:after="120"/>
              <w:jc w:val="both"/>
              <w:rPr>
                <w:lang w:val="vi-VN"/>
              </w:rPr>
            </w:pPr>
            <w:r w:rsidRPr="006C5E19">
              <w:rPr>
                <w:lang w:val="vi-VN"/>
              </w:rPr>
              <w:t>* Tiêu chí phân bổ vốn ngân sách Thành phố cho các địa phương theo khoản này được xác định căn cứ:</w:t>
            </w:r>
          </w:p>
          <w:p w14:paraId="3FB2A638" w14:textId="77777777" w:rsidR="006C5E19" w:rsidRPr="006C5E19" w:rsidRDefault="006C5E19" w:rsidP="006C5E19">
            <w:pPr>
              <w:spacing w:before="120" w:after="120"/>
              <w:jc w:val="both"/>
              <w:rPr>
                <w:lang w:val="vi-VN"/>
              </w:rPr>
            </w:pPr>
            <w:r w:rsidRPr="006C5E19">
              <w:rPr>
                <w:lang w:val="vi-VN"/>
              </w:rPr>
              <w:t>- Thôn đặc biệt khó khăn (sau đây viết tắt là T</w:t>
            </w:r>
            <w:r w:rsidRPr="006C5E19">
              <w:rPr>
                <w:vertAlign w:val="subscript"/>
                <w:lang w:val="vi-VN"/>
              </w:rPr>
              <w:t>ĐBK</w:t>
            </w:r>
            <w:r w:rsidRPr="006C5E19">
              <w:rPr>
                <w:lang w:val="vi-VN"/>
              </w:rPr>
              <w:t>);</w:t>
            </w:r>
          </w:p>
          <w:p w14:paraId="439F8EA8" w14:textId="77777777" w:rsidR="006C5E19" w:rsidRPr="006C5E19" w:rsidRDefault="006C5E19" w:rsidP="006C5E19">
            <w:pPr>
              <w:spacing w:before="120" w:after="120"/>
              <w:jc w:val="both"/>
              <w:rPr>
                <w:lang w:val="vi-VN"/>
              </w:rPr>
            </w:pPr>
            <w:r w:rsidRPr="006C5E19">
              <w:rPr>
                <w:lang w:val="vi-VN"/>
              </w:rPr>
              <w:t xml:space="preserve">- Các xã thuộc nhóm 1, nhóm 2 theo Quyết định số 2376/QĐ-UBND ngày 07/5/2026 của UBND Thành phố về xác định nhóm xã thực hiện Bộ tiêu chí quốc gia về nông thôn mới giai đoạn 2026-2030 trên địa bàn thành phố Hà Nội. </w:t>
            </w:r>
          </w:p>
          <w:p w14:paraId="5B30947A" w14:textId="77777777" w:rsidR="006C5E19" w:rsidRPr="006C5E19" w:rsidRDefault="006C5E19" w:rsidP="006C5E19">
            <w:pPr>
              <w:spacing w:before="120" w:after="120"/>
              <w:jc w:val="both"/>
              <w:rPr>
                <w:spacing w:val="-8"/>
                <w:lang w:val="vi-VN"/>
              </w:rPr>
            </w:pPr>
            <w:r w:rsidRPr="006C5E19">
              <w:rPr>
                <w:lang w:val="vi-VN"/>
              </w:rPr>
              <w:t xml:space="preserve">- Tỷ lệ số bổ sung cân đối/tổng chi cân đối ngân sách cấp xã từ 50% trở lên (quy định tại </w:t>
            </w:r>
            <w:r w:rsidRPr="006C5E19">
              <w:rPr>
                <w:spacing w:val="-8"/>
                <w:lang w:val="vi-VN"/>
              </w:rPr>
              <w:t>khoản 1, 2 Điều này, điểm b khoản 1 Điều 5 và khoản 2 Điều 7 được xác định theo dự toán thu, chi ngân sách nhà nước năm 2026 do HĐND Thành phố quyết định).</w:t>
            </w:r>
          </w:p>
          <w:p w14:paraId="71BCF72A" w14:textId="77777777" w:rsidR="006C5E19" w:rsidRPr="006C5E19" w:rsidRDefault="006C5E19" w:rsidP="006C5E19">
            <w:pPr>
              <w:spacing w:before="120" w:after="120"/>
              <w:jc w:val="both"/>
              <w:rPr>
                <w:lang w:val="vi-VN"/>
              </w:rPr>
            </w:pPr>
            <w:r w:rsidRPr="006C5E19">
              <w:rPr>
                <w:lang w:val="vi-VN"/>
              </w:rPr>
              <w:t xml:space="preserve"> * Mức phân bổ vốn của từng xã theo tiêu chí này được xác định bằng hệ số phân bổ quy định tại khoản này nhân </w:t>
            </w:r>
            <w:r w:rsidRPr="006C5E19">
              <w:rPr>
                <w:lang w:val="vi-VN"/>
              </w:rPr>
              <w:lastRenderedPageBreak/>
              <w:t>với số thôn đặc biệt khó khăn, tương ứng của xã, cụ thể như sau:</w:t>
            </w:r>
          </w:p>
          <w:p w14:paraId="79630735" w14:textId="77777777" w:rsidR="006C5E19" w:rsidRPr="006C5E19" w:rsidRDefault="006C5E19" w:rsidP="006C5E19">
            <w:pPr>
              <w:spacing w:before="120" w:after="120"/>
              <w:jc w:val="both"/>
              <w:rPr>
                <w:lang w:val="vi-VN"/>
              </w:rPr>
            </w:pPr>
            <w:r w:rsidRPr="006C5E19">
              <w:rPr>
                <w:lang w:val="vi-VN"/>
              </w:rPr>
              <w:t>a) Thôn đặc biệt khó khăn: Hệ số 1;</w:t>
            </w:r>
          </w:p>
          <w:p w14:paraId="67186D52" w14:textId="77777777" w:rsidR="006C5E19" w:rsidRPr="006C5E19" w:rsidRDefault="006C5E19" w:rsidP="006C5E19">
            <w:pPr>
              <w:spacing w:before="120" w:after="120"/>
              <w:jc w:val="both"/>
              <w:rPr>
                <w:lang w:val="vi-VN"/>
              </w:rPr>
            </w:pPr>
            <w:r w:rsidRPr="006C5E19">
              <w:rPr>
                <w:lang w:val="vi-VN"/>
              </w:rPr>
              <w:t>b) Xã nhóm 1: Hệ số 30;</w:t>
            </w:r>
          </w:p>
          <w:p w14:paraId="29FB43FA" w14:textId="2F26C060" w:rsidR="00667470" w:rsidRPr="006C5E19" w:rsidRDefault="006C5E19" w:rsidP="006C5E19">
            <w:pPr>
              <w:jc w:val="both"/>
              <w:rPr>
                <w:bCs/>
                <w:lang w:val="sv-SE"/>
              </w:rPr>
            </w:pPr>
            <w:r w:rsidRPr="006C5E19">
              <w:rPr>
                <w:lang w:val="pt-BR"/>
              </w:rPr>
              <w:t>c) Xã nhóm 2: Hệ số 50;</w:t>
            </w:r>
          </w:p>
        </w:tc>
        <w:tc>
          <w:tcPr>
            <w:tcW w:w="5272" w:type="dxa"/>
            <w:vAlign w:val="center"/>
          </w:tcPr>
          <w:p w14:paraId="18311432" w14:textId="77777777" w:rsidR="00667470" w:rsidRPr="002639A8" w:rsidRDefault="001267B5" w:rsidP="006C5E19">
            <w:pPr>
              <w:spacing w:before="20" w:after="20"/>
              <w:jc w:val="both"/>
              <w:rPr>
                <w:bCs/>
                <w:bdr w:val="none" w:sz="0" w:space="0" w:color="auto" w:frame="1"/>
                <w:lang w:val="sv-SE"/>
              </w:rPr>
            </w:pPr>
            <w:r w:rsidRPr="002639A8">
              <w:rPr>
                <w:bCs/>
                <w:bdr w:val="none" w:sz="0" w:space="0" w:color="auto" w:frame="1"/>
                <w:lang w:val="sv-SE"/>
              </w:rPr>
              <w:lastRenderedPageBreak/>
              <w:t>Khoản 1 Điều 4, Quyết định số 16/2026/QĐ-TTg ngày 15/4/2026:</w:t>
            </w:r>
          </w:p>
          <w:p w14:paraId="3CB4FE75" w14:textId="77777777" w:rsidR="001267B5" w:rsidRPr="002639A8" w:rsidRDefault="001267B5" w:rsidP="006C5E19">
            <w:pPr>
              <w:spacing w:before="20" w:after="20"/>
              <w:jc w:val="both"/>
              <w:rPr>
                <w:bCs/>
                <w:bdr w:val="none" w:sz="0" w:space="0" w:color="auto" w:frame="1"/>
                <w:lang w:val="sv-SE"/>
              </w:rPr>
            </w:pPr>
            <w:r w:rsidRPr="002639A8">
              <w:rPr>
                <w:bCs/>
                <w:bdr w:val="none" w:sz="0" w:space="0" w:color="auto" w:frame="1"/>
                <w:lang w:val="sv-SE"/>
              </w:rPr>
              <w:t>1. Tiêu chí, hệ số phân bổ theo đối tượng thôn, xã</w:t>
            </w:r>
          </w:p>
          <w:p w14:paraId="0692B550" w14:textId="77777777" w:rsidR="001267B5" w:rsidRPr="002639A8" w:rsidRDefault="001267B5" w:rsidP="006C5E19">
            <w:pPr>
              <w:spacing w:before="20" w:after="20"/>
              <w:jc w:val="both"/>
              <w:rPr>
                <w:bCs/>
                <w:bdr w:val="none" w:sz="0" w:space="0" w:color="auto" w:frame="1"/>
                <w:lang w:val="sv-SE"/>
              </w:rPr>
            </w:pPr>
            <w:r w:rsidRPr="002639A8">
              <w:rPr>
                <w:bCs/>
                <w:bdr w:val="none" w:sz="0" w:space="0" w:color="auto" w:frame="1"/>
                <w:lang w:val="sv-SE"/>
              </w:rPr>
              <w:t>Tiêu chí phân bổ vốn ngân sách trung ương cho các địa phương theo khoản này được xác định căn cứ số thôn đặc biệt khó khăn vùng đồng bào dân tộc thiểu số và miền núi (sau đây viết tắt là DTTS&amp;MN) và số xã (bao gồm: xã khu vực I, II, III vùng đồng bào DTTS&amp;MN, xã An toàn khu (sau đây viết tắt là ATK), xã biên giới, xã đảo, đặc khu và các xã còn lại) của địa phương. Mức phân bổ vốn của từng địa phương theo tiêu chí này được xác định bằng hệ số phân bổ quy định tại khoản này nhân với số lượng thôn, xã tương ứng của địa phương, cụ thể như sau:</w:t>
            </w:r>
          </w:p>
          <w:p w14:paraId="45426A45" w14:textId="77777777" w:rsidR="001267B5" w:rsidRPr="002639A8" w:rsidRDefault="001267B5" w:rsidP="006C5E19">
            <w:pPr>
              <w:spacing w:before="20" w:after="20"/>
              <w:jc w:val="both"/>
              <w:rPr>
                <w:bCs/>
                <w:bdr w:val="none" w:sz="0" w:space="0" w:color="auto" w:frame="1"/>
                <w:lang w:val="sv-SE"/>
              </w:rPr>
            </w:pPr>
            <w:r w:rsidRPr="002639A8">
              <w:rPr>
                <w:bCs/>
                <w:bdr w:val="none" w:sz="0" w:space="0" w:color="auto" w:frame="1"/>
                <w:lang w:val="sv-SE"/>
              </w:rPr>
              <w:t>a) Thôn đặc biệt khó khăn vùng đồng bào DTTS&amp;MN: Hệ số 1;</w:t>
            </w:r>
          </w:p>
          <w:p w14:paraId="1FF3B95A" w14:textId="77777777" w:rsidR="001267B5" w:rsidRPr="002639A8" w:rsidRDefault="001267B5" w:rsidP="006C5E19">
            <w:pPr>
              <w:spacing w:before="20" w:after="20"/>
              <w:jc w:val="both"/>
              <w:rPr>
                <w:bCs/>
                <w:bdr w:val="none" w:sz="0" w:space="0" w:color="auto" w:frame="1"/>
                <w:lang w:val="sv-SE"/>
              </w:rPr>
            </w:pPr>
            <w:r w:rsidRPr="002639A8">
              <w:rPr>
                <w:bCs/>
                <w:bdr w:val="none" w:sz="0" w:space="0" w:color="auto" w:frame="1"/>
                <w:lang w:val="sv-SE"/>
              </w:rPr>
              <w:t>b) Xã khu vực III vùng đồng bào DTTS&amp;MN, xã ATK, xã biên giới, xã đảo, đặc khu: Hệ số 50;</w:t>
            </w:r>
          </w:p>
          <w:p w14:paraId="641A74D4" w14:textId="77777777" w:rsidR="001267B5" w:rsidRPr="002639A8" w:rsidRDefault="001267B5" w:rsidP="006C5E19">
            <w:pPr>
              <w:spacing w:before="20" w:after="20"/>
              <w:jc w:val="both"/>
              <w:rPr>
                <w:bCs/>
                <w:bdr w:val="none" w:sz="0" w:space="0" w:color="auto" w:frame="1"/>
                <w:lang w:val="sv-SE"/>
              </w:rPr>
            </w:pPr>
            <w:r w:rsidRPr="002639A8">
              <w:rPr>
                <w:bCs/>
                <w:bdr w:val="none" w:sz="0" w:space="0" w:color="auto" w:frame="1"/>
                <w:lang w:val="sv-SE"/>
              </w:rPr>
              <w:t>c) Xã khu vực II vùng đồng bào DTTS&amp;MN: Hệ số 40;</w:t>
            </w:r>
          </w:p>
          <w:p w14:paraId="6600DFA0" w14:textId="77777777" w:rsidR="001267B5" w:rsidRPr="002639A8" w:rsidRDefault="001267B5" w:rsidP="006C5E19">
            <w:pPr>
              <w:spacing w:before="20" w:after="20"/>
              <w:jc w:val="both"/>
              <w:rPr>
                <w:bCs/>
                <w:bdr w:val="none" w:sz="0" w:space="0" w:color="auto" w:frame="1"/>
                <w:lang w:val="sv-SE"/>
              </w:rPr>
            </w:pPr>
            <w:r w:rsidRPr="002639A8">
              <w:rPr>
                <w:bCs/>
                <w:bdr w:val="none" w:sz="0" w:space="0" w:color="auto" w:frame="1"/>
                <w:lang w:val="sv-SE"/>
              </w:rPr>
              <w:t>d) Xã khu vực I vùng đồng bào DTTS&amp;MN: Hệ số 30;</w:t>
            </w:r>
          </w:p>
          <w:p w14:paraId="4A8FEB92" w14:textId="77777777" w:rsidR="001267B5" w:rsidRPr="002639A8" w:rsidRDefault="001267B5" w:rsidP="006C5E19">
            <w:pPr>
              <w:spacing w:before="20" w:after="20"/>
              <w:jc w:val="both"/>
              <w:rPr>
                <w:bCs/>
                <w:bdr w:val="none" w:sz="0" w:space="0" w:color="auto" w:frame="1"/>
                <w:lang w:val="sv-SE"/>
              </w:rPr>
            </w:pPr>
            <w:r w:rsidRPr="002639A8">
              <w:rPr>
                <w:bCs/>
                <w:bdr w:val="none" w:sz="0" w:space="0" w:color="auto" w:frame="1"/>
                <w:lang w:val="sv-SE"/>
              </w:rPr>
              <w:t>đ) Xã còn lại: Hệ số 25;</w:t>
            </w:r>
          </w:p>
          <w:p w14:paraId="64517B00" w14:textId="0E4D0FD7" w:rsidR="001267B5" w:rsidRPr="002639A8" w:rsidRDefault="001267B5" w:rsidP="006C5E19">
            <w:pPr>
              <w:spacing w:before="20" w:after="20"/>
              <w:jc w:val="both"/>
              <w:rPr>
                <w:bCs/>
                <w:bdr w:val="none" w:sz="0" w:space="0" w:color="auto" w:frame="1"/>
                <w:lang w:val="sv-SE"/>
              </w:rPr>
            </w:pPr>
            <w:r w:rsidRPr="002639A8">
              <w:rPr>
                <w:bCs/>
                <w:bdr w:val="none" w:sz="0" w:space="0" w:color="auto" w:frame="1"/>
                <w:lang w:val="sv-SE"/>
              </w:rPr>
              <w:t xml:space="preserve">Trường hợp một xã đồng thời thuộc từ hai (02) đối tượng trở lên quy định tại các điểm b, c, d và đ khoản này thì chỉ áp dụng một (01) hệ số phân bổ cao nhất tương ứng với một trong các đối tượng đó; không áp </w:t>
            </w:r>
            <w:r w:rsidRPr="002639A8">
              <w:rPr>
                <w:bCs/>
                <w:bdr w:val="none" w:sz="0" w:space="0" w:color="auto" w:frame="1"/>
                <w:lang w:val="sv-SE"/>
              </w:rPr>
              <w:lastRenderedPageBreak/>
              <w:t>dụng cộng gộp, nhân hoặc tính trùng nhiều hệ số đối với cùng một xã.</w:t>
            </w:r>
          </w:p>
        </w:tc>
        <w:tc>
          <w:tcPr>
            <w:tcW w:w="3178" w:type="dxa"/>
            <w:vAlign w:val="center"/>
          </w:tcPr>
          <w:p w14:paraId="24E8A1DE" w14:textId="335A0D39" w:rsidR="00667470" w:rsidRPr="002639A8" w:rsidRDefault="00667470" w:rsidP="006C5E19">
            <w:pPr>
              <w:jc w:val="both"/>
              <w:rPr>
                <w:lang w:val="sv-SE"/>
              </w:rPr>
            </w:pPr>
            <w:r w:rsidRPr="002639A8">
              <w:rPr>
                <w:lang w:val="sv-SE"/>
              </w:rPr>
              <w:lastRenderedPageBreak/>
              <w:t>Bảo đảm tính hợp hiến, hợp pháp, thống nhất với quy định của Trung ương.</w:t>
            </w:r>
          </w:p>
        </w:tc>
        <w:tc>
          <w:tcPr>
            <w:tcW w:w="2327" w:type="dxa"/>
            <w:vAlign w:val="center"/>
          </w:tcPr>
          <w:p w14:paraId="0B968696" w14:textId="0F8943F9" w:rsidR="00667470" w:rsidRPr="002639A8" w:rsidRDefault="00667470" w:rsidP="006C5E19">
            <w:pPr>
              <w:spacing w:before="20" w:after="20"/>
              <w:jc w:val="both"/>
              <w:rPr>
                <w:lang w:val="sv-SE"/>
              </w:rPr>
            </w:pPr>
            <w:r w:rsidRPr="002639A8">
              <w:rPr>
                <w:lang w:val="sv-SE"/>
              </w:rPr>
              <w:t>Tiếp tục kế thừa</w:t>
            </w:r>
            <w:r w:rsidR="001267B5" w:rsidRPr="002639A8">
              <w:rPr>
                <w:lang w:val="sv-SE"/>
              </w:rPr>
              <w:t>, quy định chi tiết, phù hợp với tình hình thực tế của Thành phố.</w:t>
            </w:r>
          </w:p>
        </w:tc>
      </w:tr>
      <w:tr w:rsidR="00667470" w:rsidRPr="002639A8" w14:paraId="6F2A9484" w14:textId="77777777" w:rsidTr="006C5E19">
        <w:trPr>
          <w:trHeight w:val="1552"/>
        </w:trPr>
        <w:tc>
          <w:tcPr>
            <w:tcW w:w="3969" w:type="dxa"/>
            <w:vAlign w:val="center"/>
          </w:tcPr>
          <w:p w14:paraId="5C423B61" w14:textId="77777777" w:rsidR="00667470" w:rsidRPr="006C5E19" w:rsidRDefault="001267B5" w:rsidP="006C5E19">
            <w:pPr>
              <w:jc w:val="both"/>
              <w:rPr>
                <w:bCs/>
                <w:lang w:val="sv-SE"/>
              </w:rPr>
            </w:pPr>
            <w:r w:rsidRPr="006C5E19">
              <w:rPr>
                <w:bCs/>
                <w:lang w:val="sv-SE"/>
              </w:rPr>
              <w:lastRenderedPageBreak/>
              <w:t>Tại Khoản 2 Điều 5:</w:t>
            </w:r>
          </w:p>
          <w:p w14:paraId="2002077E" w14:textId="77777777" w:rsidR="006C5E19" w:rsidRPr="006C5E19" w:rsidRDefault="006C5E19" w:rsidP="006C5E19">
            <w:pPr>
              <w:spacing w:before="120" w:after="120"/>
              <w:jc w:val="both"/>
              <w:rPr>
                <w:lang w:val="pt-BR"/>
              </w:rPr>
            </w:pPr>
            <w:r w:rsidRPr="006C5E19">
              <w:rPr>
                <w:lang w:val="pt-BR"/>
              </w:rPr>
              <w:t>2. Tiêu chí, hệ số ưu tiên cho các xã thuộc đối tượng ưu tiên</w:t>
            </w:r>
          </w:p>
          <w:p w14:paraId="08E64258" w14:textId="77777777" w:rsidR="006C5E19" w:rsidRPr="006C5E19" w:rsidRDefault="006C5E19" w:rsidP="006C5E19">
            <w:pPr>
              <w:spacing w:before="120" w:after="120"/>
              <w:jc w:val="both"/>
              <w:rPr>
                <w:lang w:val="pt-BR"/>
              </w:rPr>
            </w:pPr>
            <w:r w:rsidRPr="006C5E19">
              <w:rPr>
                <w:lang w:val="pt-BR"/>
              </w:rPr>
              <w:t>Tiêu chí ưu tiên phân bổ vốn ngân sách thành phố được xác định căn cứ tỷ lệ số bổ sung cân đối/tổng chi cân đối ngân sách xã năm 2026 của từng xã. Mức ưu tiên phân bổ vốn của từng xã được xác định bằng hệ số ưu tiên quy định tại khoản này nhân với tổng số thôn của xã tính đến hết ngày 31 tháng 3 năm 2026, cụ thể như sau:</w:t>
            </w:r>
          </w:p>
          <w:p w14:paraId="048BEE15" w14:textId="77777777" w:rsidR="006C5E19" w:rsidRPr="006C5E19" w:rsidRDefault="006C5E19" w:rsidP="006C5E19">
            <w:pPr>
              <w:spacing w:before="120" w:after="120"/>
              <w:jc w:val="both"/>
              <w:rPr>
                <w:lang w:val="pt-BR"/>
              </w:rPr>
            </w:pPr>
            <w:r w:rsidRPr="006C5E19">
              <w:rPr>
                <w:lang w:val="pt-BR"/>
              </w:rPr>
              <w:t>a) Xã có tỷ lệ số bổ sung cân đối/tổng chi cân đối ngân sách xã từ 70% trở lên; Hệ số 0,4;</w:t>
            </w:r>
          </w:p>
          <w:p w14:paraId="25738479" w14:textId="07395361" w:rsidR="001267B5" w:rsidRPr="006C5E19" w:rsidRDefault="006C5E19" w:rsidP="006C5E19">
            <w:pPr>
              <w:jc w:val="both"/>
              <w:rPr>
                <w:bCs/>
                <w:lang w:val="sv-SE"/>
              </w:rPr>
            </w:pPr>
            <w:r w:rsidRPr="006C5E19">
              <w:rPr>
                <w:lang w:val="pt-BR"/>
              </w:rPr>
              <w:t>b) Xã có tỷ lệ số bổ sung cân đối/tổng chi cân đối ngân sách xã từ 50% đến dưới 70%: Hệ số 0,2;</w:t>
            </w:r>
          </w:p>
        </w:tc>
        <w:tc>
          <w:tcPr>
            <w:tcW w:w="5272" w:type="dxa"/>
            <w:vAlign w:val="center"/>
          </w:tcPr>
          <w:p w14:paraId="45352DC1" w14:textId="77777777" w:rsidR="00667470" w:rsidRPr="002639A8" w:rsidRDefault="001267B5" w:rsidP="006C5E19">
            <w:pPr>
              <w:jc w:val="both"/>
              <w:rPr>
                <w:bCs/>
                <w:bdr w:val="none" w:sz="0" w:space="0" w:color="auto" w:frame="1"/>
                <w:lang w:val="sv-SE"/>
              </w:rPr>
            </w:pPr>
            <w:r w:rsidRPr="002639A8">
              <w:rPr>
                <w:bCs/>
                <w:bdr w:val="none" w:sz="0" w:space="0" w:color="auto" w:frame="1"/>
                <w:lang w:val="sv-SE"/>
              </w:rPr>
              <w:t>Khoản 2 Điều 4, Quyết định số 16/2026/QĐ-TTg ngày 15/4/2026:</w:t>
            </w:r>
          </w:p>
          <w:p w14:paraId="154B22D0" w14:textId="77777777" w:rsidR="001267B5" w:rsidRPr="002639A8" w:rsidRDefault="001267B5" w:rsidP="006C5E19">
            <w:pPr>
              <w:jc w:val="both"/>
              <w:rPr>
                <w:bCs/>
                <w:bdr w:val="none" w:sz="0" w:space="0" w:color="auto" w:frame="1"/>
                <w:lang w:val="sv-SE"/>
              </w:rPr>
            </w:pPr>
            <w:r w:rsidRPr="002639A8">
              <w:rPr>
                <w:bCs/>
                <w:bdr w:val="none" w:sz="0" w:space="0" w:color="auto" w:frame="1"/>
                <w:lang w:val="sv-SE"/>
              </w:rPr>
              <w:t>2. Tiêu chí, hệ số ưu tiên cho các địa phương thuộc đối tượng ưu tiên</w:t>
            </w:r>
          </w:p>
          <w:p w14:paraId="7E8354D5" w14:textId="77777777" w:rsidR="001267B5" w:rsidRPr="002639A8" w:rsidRDefault="001267B5" w:rsidP="006C5E19">
            <w:pPr>
              <w:jc w:val="both"/>
              <w:rPr>
                <w:bCs/>
                <w:bdr w:val="none" w:sz="0" w:space="0" w:color="auto" w:frame="1"/>
                <w:lang w:val="sv-SE"/>
              </w:rPr>
            </w:pPr>
            <w:r w:rsidRPr="002639A8">
              <w:rPr>
                <w:bCs/>
                <w:bdr w:val="none" w:sz="0" w:space="0" w:color="auto" w:frame="1"/>
                <w:lang w:val="sv-SE"/>
              </w:rPr>
              <w:t>Tiêu chí ưu tiên phân bổ vốn ngân sách trung ương được xác định căn cứ tỷ lệ số bổ sung cân đối/tổng chi cân đối ngân sách địa phương năm 2026 của từng địa phương. Mức ưu tiên phân bổ vốn của từng địa phương được xác định bằng hệ số ưu tiên quy định tại khoản này nhân với tổng số xã của địa phương tính đến hết ngày 31 tháng 3 năm 2026, cụ thể như sau:</w:t>
            </w:r>
          </w:p>
          <w:p w14:paraId="0F5A7654" w14:textId="77777777" w:rsidR="001267B5" w:rsidRPr="002639A8" w:rsidRDefault="001267B5" w:rsidP="006C5E19">
            <w:pPr>
              <w:jc w:val="both"/>
              <w:rPr>
                <w:bCs/>
                <w:bdr w:val="none" w:sz="0" w:space="0" w:color="auto" w:frame="1"/>
                <w:lang w:val="sv-SE"/>
              </w:rPr>
            </w:pPr>
            <w:r w:rsidRPr="002639A8">
              <w:rPr>
                <w:bCs/>
                <w:bdr w:val="none" w:sz="0" w:space="0" w:color="auto" w:frame="1"/>
                <w:lang w:val="sv-SE"/>
              </w:rPr>
              <w:t>a) Địa phương có tỷ lệ số bổ sung cân đối/tổng chi cân đối ngân sách địa phương từ 70% trở lên; Hệ số 0,4;</w:t>
            </w:r>
          </w:p>
          <w:p w14:paraId="1C7A2D3D" w14:textId="77777777" w:rsidR="001267B5" w:rsidRPr="002639A8" w:rsidRDefault="001267B5" w:rsidP="006C5E19">
            <w:pPr>
              <w:jc w:val="both"/>
              <w:rPr>
                <w:bCs/>
                <w:bdr w:val="none" w:sz="0" w:space="0" w:color="auto" w:frame="1"/>
                <w:lang w:val="sv-SE"/>
              </w:rPr>
            </w:pPr>
            <w:r w:rsidRPr="002639A8">
              <w:rPr>
                <w:bCs/>
                <w:bdr w:val="none" w:sz="0" w:space="0" w:color="auto" w:frame="1"/>
                <w:lang w:val="sv-SE"/>
              </w:rPr>
              <w:t>b) Địa phương có tỷ lệ số bổ sung cân đối/tổng chi cân đối ngân sách địa phương từ 50% đến dưới 70%: Hệ số 0,2;</w:t>
            </w:r>
          </w:p>
          <w:p w14:paraId="367CC8D5" w14:textId="162643E5" w:rsidR="001267B5" w:rsidRPr="002639A8" w:rsidRDefault="001267B5" w:rsidP="006C5E19">
            <w:pPr>
              <w:jc w:val="both"/>
              <w:rPr>
                <w:bCs/>
                <w:bdr w:val="none" w:sz="0" w:space="0" w:color="auto" w:frame="1"/>
                <w:lang w:val="sv-SE"/>
              </w:rPr>
            </w:pPr>
            <w:r w:rsidRPr="002639A8">
              <w:rPr>
                <w:bCs/>
                <w:bdr w:val="none" w:sz="0" w:space="0" w:color="auto" w:frame="1"/>
                <w:lang w:val="sv-SE"/>
              </w:rPr>
              <w:t>c) Địa phương có tỷ lệ số bổ sung cân đối/tổng chi cân đối ngân sách địa phương dưới 50%: Không áp dụng hệ số ưu tiên quy định tại khoản này; việc phân bổ vốn ngân sách trung ương được xác định theo tiêu chí quy định tại khoản 1 Điều này.</w:t>
            </w:r>
          </w:p>
        </w:tc>
        <w:tc>
          <w:tcPr>
            <w:tcW w:w="3178" w:type="dxa"/>
            <w:vAlign w:val="center"/>
          </w:tcPr>
          <w:p w14:paraId="6C315C5B" w14:textId="686BCE9A" w:rsidR="00667470" w:rsidRPr="002639A8" w:rsidRDefault="001267B5" w:rsidP="006C5E19">
            <w:pPr>
              <w:jc w:val="both"/>
              <w:rPr>
                <w:lang w:val="sv-SE"/>
              </w:rPr>
            </w:pPr>
            <w:r w:rsidRPr="002639A8">
              <w:rPr>
                <w:lang w:val="sv-SE"/>
              </w:rPr>
              <w:t>Bảo đảm tính hợp hiến, hợp pháp, thống nhất với quy định của Trung ương.</w:t>
            </w:r>
          </w:p>
        </w:tc>
        <w:tc>
          <w:tcPr>
            <w:tcW w:w="2327" w:type="dxa"/>
            <w:vAlign w:val="center"/>
          </w:tcPr>
          <w:p w14:paraId="3CB10C1D" w14:textId="5D5650EA" w:rsidR="00667470" w:rsidRPr="002639A8" w:rsidRDefault="00667470" w:rsidP="006C5E19">
            <w:pPr>
              <w:jc w:val="both"/>
              <w:rPr>
                <w:lang w:val="sv-SE"/>
              </w:rPr>
            </w:pPr>
            <w:r w:rsidRPr="002639A8">
              <w:t>Tiếp tục kế thừa</w:t>
            </w:r>
          </w:p>
        </w:tc>
      </w:tr>
      <w:tr w:rsidR="00855CF7" w:rsidRPr="002639A8" w14:paraId="70816BD6" w14:textId="77777777" w:rsidTr="006C5E19">
        <w:trPr>
          <w:trHeight w:val="1005"/>
        </w:trPr>
        <w:tc>
          <w:tcPr>
            <w:tcW w:w="3969" w:type="dxa"/>
            <w:vAlign w:val="center"/>
          </w:tcPr>
          <w:p w14:paraId="72CC5145" w14:textId="77777777" w:rsidR="00855CF7" w:rsidRPr="006C5E19" w:rsidRDefault="00855CF7" w:rsidP="006C5E19">
            <w:pPr>
              <w:jc w:val="both"/>
              <w:rPr>
                <w:bCs/>
                <w:lang w:val="sv-SE"/>
              </w:rPr>
            </w:pPr>
            <w:r w:rsidRPr="006C5E19">
              <w:rPr>
                <w:bCs/>
                <w:lang w:val="sv-SE"/>
              </w:rPr>
              <w:lastRenderedPageBreak/>
              <w:t>Khoản 3 Điều 5:</w:t>
            </w:r>
          </w:p>
          <w:p w14:paraId="3142705F" w14:textId="77777777" w:rsidR="006C5E19" w:rsidRPr="006C5E19" w:rsidRDefault="006C5E19" w:rsidP="006C5E19">
            <w:pPr>
              <w:spacing w:before="120" w:after="120"/>
              <w:jc w:val="both"/>
              <w:rPr>
                <w:spacing w:val="-8"/>
                <w:lang w:val="pt-BR"/>
              </w:rPr>
            </w:pPr>
            <w:r w:rsidRPr="006C5E19">
              <w:rPr>
                <w:spacing w:val="-8"/>
                <w:lang w:val="pt-BR"/>
              </w:rPr>
              <w:t>3. Phương pháp xác định mức phân bổ vốn ngân sách Thành phố cho các xã</w:t>
            </w:r>
          </w:p>
          <w:p w14:paraId="5CDDA7EE" w14:textId="77777777" w:rsidR="006C5E19" w:rsidRPr="006C5E19" w:rsidRDefault="006C5E19" w:rsidP="006C5E19">
            <w:pPr>
              <w:spacing w:before="120" w:after="120"/>
              <w:jc w:val="both"/>
              <w:rPr>
                <w:lang w:val="pt-BR"/>
              </w:rPr>
            </w:pPr>
            <w:r w:rsidRPr="006C5E19">
              <w:rPr>
                <w:lang w:val="pt-BR"/>
              </w:rPr>
              <w:t>a) Xác định tổng điểm theo tiêu chí phân bổ của từng xã</w:t>
            </w:r>
          </w:p>
          <w:p w14:paraId="3E8030E0" w14:textId="77777777" w:rsidR="006C5E19" w:rsidRPr="006C5E19" w:rsidRDefault="006C5E19" w:rsidP="006C5E19">
            <w:pPr>
              <w:spacing w:before="120" w:after="120"/>
              <w:jc w:val="both"/>
              <w:rPr>
                <w:lang w:val="pt-BR"/>
              </w:rPr>
            </w:pPr>
            <w:r w:rsidRPr="006C5E19">
              <w:rPr>
                <w:lang w:val="pt-BR"/>
              </w:rPr>
              <w:t>Tổng điểm theo tiêu chí phân bổ của xã i được xác định như sau:</w:t>
            </w:r>
          </w:p>
          <w:p w14:paraId="56DFCBED" w14:textId="77777777" w:rsidR="006C5E19" w:rsidRPr="006C5E19" w:rsidRDefault="006C5E19" w:rsidP="006C5E19">
            <w:pPr>
              <w:spacing w:before="120" w:after="120"/>
              <w:jc w:val="both"/>
              <w:rPr>
                <w:vertAlign w:val="subscript"/>
                <w:lang w:val="pt-BR"/>
              </w:rPr>
            </w:pPr>
            <w:r w:rsidRPr="006C5E19">
              <w:rPr>
                <w:lang w:val="pt-BR"/>
              </w:rPr>
              <w:t>X</w:t>
            </w:r>
            <w:r w:rsidRPr="006C5E19">
              <w:rPr>
                <w:vertAlign w:val="subscript"/>
                <w:lang w:val="pt-BR"/>
              </w:rPr>
              <w:t>i1</w:t>
            </w:r>
            <w:r w:rsidRPr="006C5E19">
              <w:rPr>
                <w:lang w:val="pt-BR"/>
              </w:rPr>
              <w:t xml:space="preserve"> = 30 + T</w:t>
            </w:r>
            <w:r w:rsidRPr="006C5E19">
              <w:rPr>
                <w:vertAlign w:val="subscript"/>
                <w:lang w:val="pt-BR"/>
              </w:rPr>
              <w:t>ĐBKi</w:t>
            </w:r>
            <w:r w:rsidRPr="006C5E19">
              <w:rPr>
                <w:lang w:val="pt-BR"/>
              </w:rPr>
              <w:t>+ T</w:t>
            </w:r>
            <w:r w:rsidRPr="006C5E19">
              <w:rPr>
                <w:vertAlign w:val="subscript"/>
                <w:lang w:val="pt-BR"/>
              </w:rPr>
              <w:t>i</w:t>
            </w:r>
            <w:r w:rsidRPr="006C5E19">
              <w:rPr>
                <w:lang w:val="pt-BR"/>
              </w:rPr>
              <w:t xml:space="preserve"> x Thx</w:t>
            </w:r>
            <w:r w:rsidRPr="006C5E19">
              <w:rPr>
                <w:vertAlign w:val="subscript"/>
                <w:lang w:val="pt-BR"/>
              </w:rPr>
              <w:t>i1</w:t>
            </w:r>
          </w:p>
          <w:p w14:paraId="629F3908" w14:textId="77777777" w:rsidR="006C5E19" w:rsidRPr="006C5E19" w:rsidRDefault="006C5E19" w:rsidP="006C5E19">
            <w:pPr>
              <w:spacing w:before="120" w:after="120"/>
              <w:jc w:val="both"/>
              <w:rPr>
                <w:lang w:val="pt-BR"/>
              </w:rPr>
            </w:pPr>
            <w:r w:rsidRPr="006C5E19">
              <w:rPr>
                <w:lang w:val="pt-BR"/>
              </w:rPr>
              <w:t>X</w:t>
            </w:r>
            <w:r w:rsidRPr="006C5E19">
              <w:rPr>
                <w:vertAlign w:val="subscript"/>
                <w:lang w:val="pt-BR"/>
              </w:rPr>
              <w:t>i2</w:t>
            </w:r>
            <w:r w:rsidRPr="006C5E19">
              <w:rPr>
                <w:lang w:val="pt-BR"/>
              </w:rPr>
              <w:t xml:space="preserve"> = 50 + T</w:t>
            </w:r>
            <w:r w:rsidRPr="006C5E19">
              <w:rPr>
                <w:vertAlign w:val="subscript"/>
                <w:lang w:val="pt-BR"/>
              </w:rPr>
              <w:t>ĐBKi</w:t>
            </w:r>
            <w:r w:rsidRPr="006C5E19">
              <w:rPr>
                <w:lang w:val="pt-BR"/>
              </w:rPr>
              <w:t>+ T</w:t>
            </w:r>
            <w:r w:rsidRPr="006C5E19">
              <w:rPr>
                <w:vertAlign w:val="subscript"/>
                <w:lang w:val="pt-BR"/>
              </w:rPr>
              <w:t>i</w:t>
            </w:r>
            <w:r w:rsidRPr="006C5E19">
              <w:rPr>
                <w:lang w:val="pt-BR"/>
              </w:rPr>
              <w:t xml:space="preserve"> x Thx</w:t>
            </w:r>
            <w:r w:rsidRPr="006C5E19">
              <w:rPr>
                <w:vertAlign w:val="subscript"/>
                <w:lang w:val="pt-BR"/>
              </w:rPr>
              <w:t>i2</w:t>
            </w:r>
          </w:p>
          <w:p w14:paraId="115BE45E" w14:textId="77777777" w:rsidR="006C5E19" w:rsidRPr="006C5E19" w:rsidRDefault="006C5E19" w:rsidP="006C5E19">
            <w:pPr>
              <w:spacing w:before="120" w:after="120"/>
              <w:jc w:val="both"/>
              <w:rPr>
                <w:lang w:val="pt-BR"/>
              </w:rPr>
            </w:pPr>
            <w:r w:rsidRPr="006C5E19">
              <w:rPr>
                <w:lang w:val="pt-BR"/>
              </w:rPr>
              <w:t>Trong đó:</w:t>
            </w:r>
          </w:p>
          <w:p w14:paraId="0D549250" w14:textId="77777777" w:rsidR="006C5E19" w:rsidRPr="006C5E19" w:rsidRDefault="006C5E19" w:rsidP="006C5E19">
            <w:pPr>
              <w:spacing w:before="120" w:after="120"/>
              <w:jc w:val="both"/>
              <w:rPr>
                <w:lang w:val="pt-BR"/>
              </w:rPr>
            </w:pPr>
            <w:r w:rsidRPr="006C5E19">
              <w:rPr>
                <w:lang w:val="pt-BR"/>
              </w:rPr>
              <w:t>Xi</w:t>
            </w:r>
            <w:r w:rsidRPr="006C5E19">
              <w:rPr>
                <w:vertAlign w:val="subscript"/>
                <w:lang w:val="pt-BR"/>
              </w:rPr>
              <w:t>1</w:t>
            </w:r>
            <w:r w:rsidRPr="006C5E19">
              <w:rPr>
                <w:lang w:val="pt-BR"/>
              </w:rPr>
              <w:t xml:space="preserve">: Tổng điểm phân bổ của xã i thuộc xã nhóm 1; </w:t>
            </w:r>
          </w:p>
          <w:p w14:paraId="007DC854" w14:textId="77777777" w:rsidR="006C5E19" w:rsidRPr="006C5E19" w:rsidRDefault="006C5E19" w:rsidP="006C5E19">
            <w:pPr>
              <w:spacing w:before="120" w:after="120"/>
              <w:jc w:val="both"/>
              <w:rPr>
                <w:lang w:val="pt-BR"/>
              </w:rPr>
            </w:pPr>
            <w:r w:rsidRPr="006C5E19">
              <w:rPr>
                <w:lang w:val="pt-BR"/>
              </w:rPr>
              <w:t>Xi</w:t>
            </w:r>
            <w:r w:rsidRPr="006C5E19">
              <w:rPr>
                <w:vertAlign w:val="subscript"/>
                <w:lang w:val="pt-BR"/>
              </w:rPr>
              <w:t>2</w:t>
            </w:r>
            <w:r w:rsidRPr="006C5E19">
              <w:rPr>
                <w:lang w:val="pt-BR"/>
              </w:rPr>
              <w:t xml:space="preserve">: Tổng điểm phân bổ của xã i thuộc xã nhóm 2; </w:t>
            </w:r>
          </w:p>
          <w:p w14:paraId="747AFA01" w14:textId="77777777" w:rsidR="006C5E19" w:rsidRPr="006C5E19" w:rsidRDefault="006C5E19" w:rsidP="006C5E19">
            <w:pPr>
              <w:spacing w:before="120" w:after="120"/>
              <w:jc w:val="both"/>
              <w:rPr>
                <w:spacing w:val="-8"/>
                <w:lang w:val="pt-BR"/>
              </w:rPr>
            </w:pPr>
            <w:r w:rsidRPr="006C5E19">
              <w:rPr>
                <w:spacing w:val="-8"/>
                <w:lang w:val="pt-BR"/>
              </w:rPr>
              <w:t>Ti: Hệ số tương ứng với tỷ lệ bổ sung cân đối/tổng chi cân đối ngân sách xã i;</w:t>
            </w:r>
          </w:p>
          <w:p w14:paraId="2CD6011C" w14:textId="77777777" w:rsidR="006C5E19" w:rsidRPr="006C5E19" w:rsidRDefault="006C5E19" w:rsidP="006C5E19">
            <w:pPr>
              <w:spacing w:before="120" w:after="120"/>
              <w:jc w:val="both"/>
              <w:rPr>
                <w:lang w:val="pt-BR"/>
              </w:rPr>
            </w:pPr>
            <w:r w:rsidRPr="006C5E19">
              <w:rPr>
                <w:lang w:val="pt-BR"/>
              </w:rPr>
              <w:t>Thx</w:t>
            </w:r>
            <w:r w:rsidRPr="006C5E19">
              <w:rPr>
                <w:vertAlign w:val="subscript"/>
                <w:lang w:val="pt-BR"/>
              </w:rPr>
              <w:t>i</w:t>
            </w:r>
            <w:r w:rsidRPr="006C5E19">
              <w:rPr>
                <w:lang w:val="pt-BR"/>
              </w:rPr>
              <w:t xml:space="preserve"> = Tổng số thôn của xã i;</w:t>
            </w:r>
          </w:p>
          <w:p w14:paraId="28F56138" w14:textId="77777777" w:rsidR="006C5E19" w:rsidRPr="006C5E19" w:rsidRDefault="006C5E19" w:rsidP="006C5E19">
            <w:pPr>
              <w:spacing w:before="120" w:after="120"/>
              <w:jc w:val="both"/>
              <w:rPr>
                <w:lang w:val="pt-BR"/>
              </w:rPr>
            </w:pPr>
            <w:r w:rsidRPr="006C5E19">
              <w:rPr>
                <w:lang w:val="pt-BR"/>
              </w:rPr>
              <w:t>T</w:t>
            </w:r>
            <w:r w:rsidRPr="006C5E19">
              <w:rPr>
                <w:vertAlign w:val="subscript"/>
                <w:lang w:val="pt-BR"/>
              </w:rPr>
              <w:t xml:space="preserve">ĐBKi  </w:t>
            </w:r>
            <w:r w:rsidRPr="006C5E19">
              <w:rPr>
                <w:lang w:val="pt-BR"/>
              </w:rPr>
              <w:t>= Số thôn đặc biệt khó khăn của xã i;</w:t>
            </w:r>
          </w:p>
          <w:p w14:paraId="689F7736" w14:textId="77777777" w:rsidR="006C5E19" w:rsidRPr="006C5E19" w:rsidRDefault="006C5E19" w:rsidP="006C5E19">
            <w:pPr>
              <w:spacing w:before="120" w:after="120"/>
              <w:jc w:val="both"/>
              <w:rPr>
                <w:lang w:val="pt-BR"/>
              </w:rPr>
            </w:pPr>
            <w:r w:rsidRPr="006C5E19">
              <w:rPr>
                <w:lang w:val="pt-BR"/>
              </w:rPr>
              <w:t>b) Xác định tổng điểm phân bổ của thành phố</w:t>
            </w:r>
          </w:p>
          <w:p w14:paraId="48AD329A" w14:textId="77777777" w:rsidR="006C5E19" w:rsidRPr="006C5E19" w:rsidRDefault="006C5E19" w:rsidP="006C5E19">
            <w:pPr>
              <w:spacing w:before="120" w:after="120"/>
              <w:jc w:val="both"/>
              <w:rPr>
                <w:lang w:val="pt-BR"/>
              </w:rPr>
            </w:pPr>
            <w:r w:rsidRPr="006C5E19">
              <w:rPr>
                <w:lang w:val="pt-BR"/>
              </w:rPr>
              <w:t>Tổng điểm phân bổ của tất cả các xã được xác định bằng tổng điểm phân bổ của từng xã, cụ thể như sau:</w:t>
            </w:r>
          </w:p>
          <w:p w14:paraId="377B0B92" w14:textId="6C7C4626" w:rsidR="006C5E19" w:rsidRPr="006C5E19" w:rsidRDefault="006C5E19" w:rsidP="006C5E19">
            <w:pPr>
              <w:spacing w:before="120" w:after="120"/>
              <w:ind w:left="720"/>
              <w:jc w:val="both"/>
              <w:rPr>
                <w:rFonts w:eastAsia="Calibri"/>
                <w:kern w:val="2"/>
                <w:lang w:val="pt-BR"/>
              </w:rPr>
            </w:pPr>
            <w:bookmarkStart w:id="2" w:name="OLE_LINK10"/>
            <w:r w:rsidRPr="006C5E19">
              <w:rPr>
                <w:rFonts w:eastAsia="Calibri"/>
                <w:kern w:val="2"/>
                <w:lang w:val="pt-BR"/>
              </w:rPr>
              <w:lastRenderedPageBreak/>
              <w:t>T</w:t>
            </w:r>
            <w:r w:rsidRPr="006C5E19">
              <w:rPr>
                <w:rFonts w:eastAsia="Calibri"/>
                <w:kern w:val="2"/>
                <w:vertAlign w:val="subscript"/>
                <w:lang w:val="pt-BR"/>
              </w:rPr>
              <w:t>TP</w:t>
            </w:r>
            <w:bookmarkEnd w:id="2"/>
            <w:r w:rsidRPr="006C5E19">
              <w:rPr>
                <w:rFonts w:eastAsia="Calibri"/>
                <w:kern w:val="2"/>
                <w:vertAlign w:val="subscript"/>
                <w:lang w:val="pt-BR"/>
              </w:rPr>
              <w:t xml:space="preserve">= </w:t>
            </w:r>
            <m:oMath>
              <m:nary>
                <m:naryPr>
                  <m:chr m:val="∑"/>
                  <m:grow m:val="1"/>
                  <m:ctrlPr>
                    <w:rPr>
                      <w:rFonts w:ascii="Cambria Math" w:eastAsia="Calibri" w:hAnsi="Cambria Math"/>
                      <w:kern w:val="2"/>
                    </w:rPr>
                  </m:ctrlPr>
                </m:naryPr>
                <m:sub>
                  <m:r>
                    <w:rPr>
                      <w:rFonts w:ascii="Cambria Math" w:eastAsia="Cambria Math" w:hAnsi="Cambria Math"/>
                      <w:kern w:val="2"/>
                    </w:rPr>
                    <m:t>i=1</m:t>
                  </m:r>
                </m:sub>
                <m:sup>
                  <m:r>
                    <w:rPr>
                      <w:rFonts w:ascii="Cambria Math" w:eastAsia="Cambria Math" w:hAnsi="Cambria Math"/>
                      <w:kern w:val="2"/>
                    </w:rPr>
                    <m:t>n</m:t>
                  </m:r>
                </m:sup>
                <m:e>
                  <m:r>
                    <m:rPr>
                      <m:sty m:val="p"/>
                    </m:rPr>
                    <w:rPr>
                      <w:rFonts w:ascii="Cambria Math" w:hAnsi="Cambria Math"/>
                      <w:kern w:val="2"/>
                    </w:rPr>
                    <m:t>Xi</m:t>
                  </m:r>
                </m:e>
              </m:nary>
            </m:oMath>
          </w:p>
          <w:p w14:paraId="0677C0C6" w14:textId="77777777" w:rsidR="006C5E19" w:rsidRPr="006C5E19" w:rsidRDefault="006C5E19" w:rsidP="006C5E19">
            <w:pPr>
              <w:spacing w:before="120" w:after="120"/>
              <w:jc w:val="both"/>
              <w:rPr>
                <w:lang w:val="pt-BR"/>
              </w:rPr>
            </w:pPr>
            <w:r w:rsidRPr="006C5E19">
              <w:rPr>
                <w:lang w:val="pt-BR"/>
              </w:rPr>
              <w:t>Trong đó:</w:t>
            </w:r>
          </w:p>
          <w:p w14:paraId="3B2B3283" w14:textId="77777777" w:rsidR="006C5E19" w:rsidRPr="006C5E19" w:rsidRDefault="006C5E19" w:rsidP="006C5E19">
            <w:pPr>
              <w:spacing w:before="120" w:after="120"/>
              <w:jc w:val="both"/>
              <w:rPr>
                <w:lang w:val="pt-BR"/>
              </w:rPr>
            </w:pPr>
            <w:r w:rsidRPr="006C5E19">
              <w:rPr>
                <w:lang w:val="pt-BR"/>
              </w:rPr>
              <w:t>T</w:t>
            </w:r>
            <w:r w:rsidRPr="006C5E19">
              <w:rPr>
                <w:vertAlign w:val="subscript"/>
                <w:lang w:val="pt-BR"/>
              </w:rPr>
              <w:t>TP</w:t>
            </w:r>
            <w:r w:rsidRPr="006C5E19">
              <w:rPr>
                <w:lang w:val="pt-BR"/>
              </w:rPr>
              <w:t>: Tổng điểm phân bổ của Thành phố;</w:t>
            </w:r>
          </w:p>
          <w:p w14:paraId="033DA97B" w14:textId="77777777" w:rsidR="006C5E19" w:rsidRPr="006C5E19" w:rsidRDefault="006C5E19" w:rsidP="006C5E19">
            <w:pPr>
              <w:spacing w:before="120" w:after="120"/>
              <w:jc w:val="both"/>
              <w:rPr>
                <w:spacing w:val="-8"/>
                <w:lang w:val="pt-BR"/>
              </w:rPr>
            </w:pPr>
            <w:r w:rsidRPr="006C5E19">
              <w:rPr>
                <w:lang w:val="pt-BR"/>
              </w:rPr>
              <w:t>n</w:t>
            </w:r>
            <w:r w:rsidRPr="006C5E19">
              <w:rPr>
                <w:spacing w:val="-8"/>
                <w:lang w:val="pt-BR"/>
              </w:rPr>
              <w:t>: Tổng số xã được phân bổ vốn ngân sách thành phố theo Quyết định này.</w:t>
            </w:r>
          </w:p>
          <w:p w14:paraId="6F9B77A6" w14:textId="77777777" w:rsidR="006C5E19" w:rsidRPr="006C5E19" w:rsidRDefault="006C5E19" w:rsidP="006C5E19">
            <w:pPr>
              <w:spacing w:before="120" w:after="120"/>
              <w:jc w:val="both"/>
              <w:rPr>
                <w:lang w:val="pt-BR"/>
              </w:rPr>
            </w:pPr>
            <w:r w:rsidRPr="006C5E19">
              <w:rPr>
                <w:lang w:val="pt-BR"/>
              </w:rPr>
              <w:t>c) Xác định giá trị của một (01) điểm phân bổ</w:t>
            </w:r>
          </w:p>
          <w:p w14:paraId="3A49FC57" w14:textId="77777777" w:rsidR="006C5E19" w:rsidRPr="006C5E19" w:rsidRDefault="006C5E19" w:rsidP="006C5E19">
            <w:pPr>
              <w:spacing w:before="120" w:after="120"/>
              <w:jc w:val="both"/>
              <w:rPr>
                <w:lang w:val="pt-BR"/>
              </w:rPr>
            </w:pPr>
            <w:r w:rsidRPr="006C5E19">
              <w:rPr>
                <w:lang w:val="pt-BR"/>
              </w:rPr>
              <w:t>Giá trị của một (01) điểm phân bổ được xác định theo công thức sau:</w:t>
            </w:r>
          </w:p>
          <w:tbl>
            <w:tblPr>
              <w:tblW w:w="0" w:type="auto"/>
              <w:jc w:val="center"/>
              <w:tblLook w:val="0000" w:firstRow="0" w:lastRow="0" w:firstColumn="0" w:lastColumn="0" w:noHBand="0" w:noVBand="0"/>
            </w:tblPr>
            <w:tblGrid>
              <w:gridCol w:w="1184"/>
              <w:gridCol w:w="1184"/>
            </w:tblGrid>
            <w:tr w:rsidR="006C5E19" w:rsidRPr="006C5E19" w14:paraId="05B1FD3A" w14:textId="77777777" w:rsidTr="00511F77">
              <w:trPr>
                <w:trHeight w:val="397"/>
                <w:jc w:val="center"/>
              </w:trPr>
              <w:tc>
                <w:tcPr>
                  <w:tcW w:w="1184" w:type="dxa"/>
                  <w:vMerge w:val="restart"/>
                  <w:vAlign w:val="center"/>
                </w:tcPr>
                <w:p w14:paraId="436268B3" w14:textId="77777777" w:rsidR="006C5E19" w:rsidRPr="006C5E19" w:rsidRDefault="006C5E19" w:rsidP="006C5E19">
                  <w:pPr>
                    <w:jc w:val="both"/>
                  </w:pPr>
                  <w:r w:rsidRPr="006C5E19">
                    <w:rPr>
                      <w:lang w:val="pt-BR"/>
                    </w:rPr>
                    <w:t xml:space="preserve">        </w:t>
                  </w:r>
                  <w:r w:rsidRPr="006C5E19">
                    <w:t>G=</w:t>
                  </w:r>
                  <w:r w:rsidRPr="006C5E19">
                    <w:rPr>
                      <w:lang w:val="pt-BR"/>
                    </w:rPr>
                    <w:t xml:space="preserve">           </w:t>
                  </w:r>
                </w:p>
              </w:tc>
              <w:tc>
                <w:tcPr>
                  <w:tcW w:w="1184" w:type="dxa"/>
                  <w:tcBorders>
                    <w:top w:val="nil"/>
                    <w:left w:val="nil"/>
                    <w:bottom w:val="single" w:sz="4" w:space="0" w:color="auto"/>
                    <w:right w:val="nil"/>
                  </w:tcBorders>
                  <w:vAlign w:val="center"/>
                </w:tcPr>
                <w:p w14:paraId="315785BA" w14:textId="77777777" w:rsidR="006C5E19" w:rsidRPr="006C5E19" w:rsidRDefault="006C5E19" w:rsidP="006C5E19">
                  <w:pPr>
                    <w:jc w:val="both"/>
                    <w:rPr>
                      <w:vertAlign w:val="subscript"/>
                    </w:rPr>
                  </w:pPr>
                  <w:r w:rsidRPr="006C5E19">
                    <w:t>V</w:t>
                  </w:r>
                  <w:r w:rsidRPr="006C5E19">
                    <w:rPr>
                      <w:vertAlign w:val="subscript"/>
                    </w:rPr>
                    <w:t>TP</w:t>
                  </w:r>
                </w:p>
              </w:tc>
            </w:tr>
            <w:tr w:rsidR="006C5E19" w:rsidRPr="006C5E19" w14:paraId="46DD53F7" w14:textId="77777777" w:rsidTr="00511F77">
              <w:trPr>
                <w:trHeight w:val="403"/>
                <w:jc w:val="center"/>
              </w:trPr>
              <w:tc>
                <w:tcPr>
                  <w:tcW w:w="0" w:type="auto"/>
                  <w:vMerge/>
                  <w:vAlign w:val="center"/>
                </w:tcPr>
                <w:p w14:paraId="184C4695" w14:textId="77777777" w:rsidR="006C5E19" w:rsidRPr="006C5E19" w:rsidRDefault="006C5E19" w:rsidP="006C5E19">
                  <w:pPr>
                    <w:jc w:val="both"/>
                  </w:pPr>
                </w:p>
              </w:tc>
              <w:tc>
                <w:tcPr>
                  <w:tcW w:w="1184" w:type="dxa"/>
                  <w:tcBorders>
                    <w:top w:val="single" w:sz="4" w:space="0" w:color="auto"/>
                    <w:left w:val="nil"/>
                    <w:bottom w:val="nil"/>
                    <w:right w:val="nil"/>
                  </w:tcBorders>
                  <w:vAlign w:val="center"/>
                </w:tcPr>
                <w:p w14:paraId="413C718F" w14:textId="77777777" w:rsidR="006C5E19" w:rsidRPr="006C5E19" w:rsidRDefault="006C5E19" w:rsidP="006C5E19">
                  <w:pPr>
                    <w:jc w:val="both"/>
                    <w:rPr>
                      <w:vertAlign w:val="subscript"/>
                    </w:rPr>
                  </w:pPr>
                  <w:r w:rsidRPr="006C5E19">
                    <w:t>T</w:t>
                  </w:r>
                  <w:r w:rsidRPr="006C5E19">
                    <w:rPr>
                      <w:vertAlign w:val="subscript"/>
                    </w:rPr>
                    <w:t>TP</w:t>
                  </w:r>
                </w:p>
              </w:tc>
            </w:tr>
          </w:tbl>
          <w:p w14:paraId="33EAFC7A" w14:textId="77777777" w:rsidR="006C5E19" w:rsidRPr="006C5E19" w:rsidRDefault="006C5E19" w:rsidP="006C5E19">
            <w:pPr>
              <w:spacing w:before="120" w:after="120"/>
              <w:jc w:val="both"/>
            </w:pPr>
            <w:r w:rsidRPr="006C5E19">
              <w:t>Trong đó:</w:t>
            </w:r>
          </w:p>
          <w:p w14:paraId="58E4B4AD" w14:textId="77777777" w:rsidR="006C5E19" w:rsidRPr="006C5E19" w:rsidRDefault="006C5E19" w:rsidP="006C5E19">
            <w:pPr>
              <w:spacing w:before="120" w:after="120"/>
              <w:jc w:val="both"/>
            </w:pPr>
            <w:r w:rsidRPr="006C5E19">
              <w:t>G: Giá trị của một (01) điểm phân bổ (đồng/điểm);</w:t>
            </w:r>
          </w:p>
          <w:p w14:paraId="58F44150" w14:textId="77777777" w:rsidR="006C5E19" w:rsidRPr="006C5E19" w:rsidRDefault="006C5E19" w:rsidP="006C5E19">
            <w:pPr>
              <w:spacing w:before="120" w:after="120"/>
              <w:jc w:val="both"/>
            </w:pPr>
            <w:r w:rsidRPr="006C5E19">
              <w:t>V</w:t>
            </w:r>
            <w:r w:rsidRPr="006C5E19">
              <w:rPr>
                <w:vertAlign w:val="subscript"/>
              </w:rPr>
              <w:t>TP</w:t>
            </w:r>
            <w:r w:rsidRPr="006C5E19">
              <w:t>: Tổng vốn ngân sách Thành phố bố trí để phân bổ thực hiện Chương trình theo kỳ kế hoạch.</w:t>
            </w:r>
          </w:p>
          <w:p w14:paraId="2D7A8C8E" w14:textId="77777777" w:rsidR="006C5E19" w:rsidRPr="006C5E19" w:rsidRDefault="006C5E19" w:rsidP="006C5E19">
            <w:pPr>
              <w:spacing w:before="120" w:after="120"/>
              <w:jc w:val="both"/>
            </w:pPr>
            <w:r w:rsidRPr="006C5E19">
              <w:t>d) Xác định mức vốn ngân sách Thành phố phân bổ cho từng xã</w:t>
            </w:r>
          </w:p>
          <w:p w14:paraId="516EEC0A" w14:textId="77777777" w:rsidR="006C5E19" w:rsidRPr="006C5E19" w:rsidRDefault="006C5E19" w:rsidP="006C5E19">
            <w:pPr>
              <w:spacing w:before="120" w:after="120"/>
              <w:jc w:val="both"/>
            </w:pPr>
            <w:r w:rsidRPr="006C5E19">
              <w:t>Mức vốn ngân sách Thành phố phân bổ cho xã i được xác định như sau:</w:t>
            </w:r>
          </w:p>
          <w:p w14:paraId="27622E46" w14:textId="77777777" w:rsidR="006C5E19" w:rsidRPr="006C5E19" w:rsidRDefault="006C5E19" w:rsidP="006C5E19">
            <w:pPr>
              <w:spacing w:before="120" w:after="120"/>
              <w:jc w:val="both"/>
            </w:pPr>
            <w:r w:rsidRPr="006C5E19">
              <w:t>Vi = Xi x G</w:t>
            </w:r>
          </w:p>
          <w:p w14:paraId="7C9609D2" w14:textId="77777777" w:rsidR="006C5E19" w:rsidRPr="006C5E19" w:rsidRDefault="006C5E19" w:rsidP="006C5E19">
            <w:pPr>
              <w:spacing w:before="120" w:after="120"/>
              <w:jc w:val="both"/>
            </w:pPr>
            <w:r w:rsidRPr="006C5E19">
              <w:lastRenderedPageBreak/>
              <w:t>Trong đó:</w:t>
            </w:r>
          </w:p>
          <w:p w14:paraId="2303A7B0" w14:textId="77777777" w:rsidR="006C5E19" w:rsidRPr="006C5E19" w:rsidRDefault="006C5E19" w:rsidP="006C5E19">
            <w:pPr>
              <w:spacing w:before="120" w:after="120"/>
              <w:jc w:val="both"/>
            </w:pPr>
            <w:r w:rsidRPr="006C5E19">
              <w:t>Vi: Mức vốn ngân sách thành phố phân bổ cho xã i;</w:t>
            </w:r>
          </w:p>
          <w:p w14:paraId="5E44E214" w14:textId="77777777" w:rsidR="006C5E19" w:rsidRPr="006C5E19" w:rsidRDefault="006C5E19" w:rsidP="006C5E19">
            <w:pPr>
              <w:spacing w:before="120" w:after="120"/>
              <w:jc w:val="both"/>
            </w:pPr>
            <w:r w:rsidRPr="006C5E19">
              <w:t>Xi: Tổng điểm phân bổ của xã i;</w:t>
            </w:r>
          </w:p>
          <w:p w14:paraId="4FD18744" w14:textId="13A1FCA0" w:rsidR="00855CF7" w:rsidRPr="006C5E19" w:rsidRDefault="006C5E19" w:rsidP="006C5E19">
            <w:pPr>
              <w:jc w:val="both"/>
            </w:pPr>
            <w:r w:rsidRPr="006C5E19">
              <w:t>G: Giá trị của một (01) điểm phân bổ.</w:t>
            </w:r>
          </w:p>
          <w:p w14:paraId="1DB64129" w14:textId="6A345FB2" w:rsidR="00855CF7" w:rsidRPr="006C5E19" w:rsidRDefault="00855CF7" w:rsidP="006C5E19">
            <w:pPr>
              <w:jc w:val="both"/>
              <w:rPr>
                <w:bCs/>
              </w:rPr>
            </w:pPr>
          </w:p>
        </w:tc>
        <w:tc>
          <w:tcPr>
            <w:tcW w:w="5272" w:type="dxa"/>
            <w:vAlign w:val="center"/>
          </w:tcPr>
          <w:p w14:paraId="5B7BE8FC" w14:textId="2D099A79" w:rsidR="00855CF7" w:rsidRPr="002639A8" w:rsidRDefault="00855CF7" w:rsidP="006C5E19">
            <w:pPr>
              <w:jc w:val="both"/>
              <w:rPr>
                <w:bCs/>
                <w:bdr w:val="none" w:sz="0" w:space="0" w:color="auto" w:frame="1"/>
                <w:lang w:val="sv-SE"/>
              </w:rPr>
            </w:pPr>
            <w:r w:rsidRPr="002639A8">
              <w:rPr>
                <w:bCs/>
                <w:bdr w:val="none" w:sz="0" w:space="0" w:color="auto" w:frame="1"/>
                <w:lang w:val="sv-SE"/>
              </w:rPr>
              <w:lastRenderedPageBreak/>
              <w:t>Khoản 3 Điều 4, Quyết định số 16/2026/QĐ-TTg ngày 15/4/2026:</w:t>
            </w:r>
          </w:p>
          <w:p w14:paraId="5AA30689" w14:textId="77777777" w:rsidR="00855CF7" w:rsidRPr="002639A8" w:rsidRDefault="00855CF7" w:rsidP="006C5E19">
            <w:pPr>
              <w:spacing w:before="120"/>
              <w:jc w:val="both"/>
              <w:rPr>
                <w:lang w:val="sv-SE"/>
              </w:rPr>
            </w:pPr>
            <w:r w:rsidRPr="002639A8">
              <w:rPr>
                <w:iCs/>
                <w:lang w:val="sv-SE"/>
              </w:rPr>
              <w:t>3</w:t>
            </w:r>
            <w:r w:rsidRPr="002639A8">
              <w:rPr>
                <w:i/>
                <w:lang w:val="sv-SE"/>
              </w:rPr>
              <w:t>.</w:t>
            </w:r>
            <w:r w:rsidRPr="002639A8">
              <w:rPr>
                <w:lang w:val="sv-SE"/>
              </w:rPr>
              <w:t xml:space="preserve"> Phương pháp xác định mức phân bổ vốn ngân sách trung ương cho các địa phương</w:t>
            </w:r>
          </w:p>
          <w:p w14:paraId="3B3EA99C" w14:textId="77777777" w:rsidR="00855CF7" w:rsidRPr="002639A8" w:rsidRDefault="00855CF7" w:rsidP="006C5E19">
            <w:pPr>
              <w:spacing w:before="120"/>
              <w:jc w:val="both"/>
              <w:rPr>
                <w:lang w:val="sv-SE"/>
              </w:rPr>
            </w:pPr>
            <w:r w:rsidRPr="002639A8">
              <w:rPr>
                <w:lang w:val="sv-SE"/>
              </w:rPr>
              <w:t>a) Xác định tổng điểm theo tiêu chí phân bổ của từng địa phương</w:t>
            </w:r>
          </w:p>
          <w:p w14:paraId="6DFD9877" w14:textId="77777777" w:rsidR="00855CF7" w:rsidRPr="002639A8" w:rsidRDefault="00855CF7" w:rsidP="006C5E19">
            <w:pPr>
              <w:spacing w:before="120"/>
              <w:jc w:val="both"/>
              <w:rPr>
                <w:lang w:val="sv-SE"/>
              </w:rPr>
            </w:pPr>
            <w:r w:rsidRPr="002639A8">
              <w:rPr>
                <w:lang w:val="sv-SE"/>
              </w:rPr>
              <w:t xml:space="preserve">Tổng điểm theo tiêu chí phân bổ của tỉnh, thành phố </w:t>
            </w:r>
            <w:r w:rsidRPr="002639A8">
              <w:rPr>
                <w:i/>
                <w:iCs/>
                <w:lang w:val="sv-SE"/>
              </w:rPr>
              <w:t xml:space="preserve">i </w:t>
            </w:r>
            <w:r w:rsidRPr="002639A8">
              <w:rPr>
                <w:lang w:val="sv-SE"/>
              </w:rPr>
              <w:t>được xác định như sau:</w:t>
            </w:r>
          </w:p>
          <w:p w14:paraId="34CF026B" w14:textId="77777777" w:rsidR="00855CF7" w:rsidRPr="002639A8" w:rsidRDefault="00855CF7" w:rsidP="006C5E19">
            <w:pPr>
              <w:spacing w:before="120"/>
              <w:jc w:val="both"/>
            </w:pPr>
            <w:r w:rsidRPr="002639A8">
              <w:t>T</w:t>
            </w:r>
            <w:r w:rsidRPr="002639A8">
              <w:rPr>
                <w:i/>
                <w:iCs/>
                <w:vertAlign w:val="subscript"/>
              </w:rPr>
              <w:t>i</w:t>
            </w:r>
            <w:r w:rsidRPr="002639A8">
              <w:t xml:space="preserve"> = (1 x TDK</w:t>
            </w:r>
            <w:r w:rsidRPr="002639A8">
              <w:rPr>
                <w:i/>
                <w:iCs/>
                <w:vertAlign w:val="subscript"/>
              </w:rPr>
              <w:t>i</w:t>
            </w:r>
            <w:r w:rsidRPr="002639A8">
              <w:t>) + (50 x XK3</w:t>
            </w:r>
            <w:r w:rsidRPr="002639A8">
              <w:rPr>
                <w:i/>
                <w:iCs/>
                <w:vertAlign w:val="subscript"/>
              </w:rPr>
              <w:t>i</w:t>
            </w:r>
            <w:r w:rsidRPr="002639A8">
              <w:t>) + (40 x XK2</w:t>
            </w:r>
            <w:r w:rsidRPr="002639A8">
              <w:rPr>
                <w:i/>
                <w:iCs/>
                <w:vertAlign w:val="subscript"/>
              </w:rPr>
              <w:t>i</w:t>
            </w:r>
            <w:r w:rsidRPr="002639A8">
              <w:t>) + (30 x XK1</w:t>
            </w:r>
            <w:r w:rsidRPr="002639A8">
              <w:rPr>
                <w:i/>
                <w:iCs/>
                <w:vertAlign w:val="subscript"/>
              </w:rPr>
              <w:t>i</w:t>
            </w:r>
            <w:r w:rsidRPr="002639A8">
              <w:t>) + (25 x XCL</w:t>
            </w:r>
            <w:r w:rsidRPr="002639A8">
              <w:rPr>
                <w:i/>
                <w:iCs/>
                <w:vertAlign w:val="subscript"/>
              </w:rPr>
              <w:t>i</w:t>
            </w:r>
            <w:r w:rsidRPr="002639A8">
              <w:t>) + (H</w:t>
            </w:r>
            <w:r w:rsidRPr="002639A8">
              <w:rPr>
                <w:i/>
                <w:iCs/>
                <w:vertAlign w:val="subscript"/>
              </w:rPr>
              <w:t>i</w:t>
            </w:r>
            <w:r w:rsidRPr="002639A8">
              <w:t xml:space="preserve"> x N</w:t>
            </w:r>
            <w:r w:rsidRPr="002639A8">
              <w:rPr>
                <w:i/>
                <w:iCs/>
                <w:vertAlign w:val="subscript"/>
              </w:rPr>
              <w:t>i</w:t>
            </w:r>
            <w:r w:rsidRPr="002639A8">
              <w:t>)</w:t>
            </w:r>
          </w:p>
          <w:p w14:paraId="049CA003" w14:textId="77777777" w:rsidR="00855CF7" w:rsidRPr="002639A8" w:rsidRDefault="00855CF7" w:rsidP="006C5E19">
            <w:pPr>
              <w:spacing w:before="120"/>
              <w:jc w:val="both"/>
            </w:pPr>
            <w:r w:rsidRPr="002639A8">
              <w:t>Trong đó:</w:t>
            </w:r>
          </w:p>
          <w:p w14:paraId="07B33E1A" w14:textId="77777777" w:rsidR="00855CF7" w:rsidRPr="002639A8" w:rsidRDefault="00855CF7" w:rsidP="006C5E19">
            <w:pPr>
              <w:spacing w:before="120"/>
              <w:jc w:val="both"/>
            </w:pPr>
            <w:r w:rsidRPr="002639A8">
              <w:t>T</w:t>
            </w:r>
            <w:r w:rsidRPr="002639A8">
              <w:rPr>
                <w:i/>
                <w:iCs/>
                <w:vertAlign w:val="subscript"/>
              </w:rPr>
              <w:t>i</w:t>
            </w:r>
            <w:r w:rsidRPr="002639A8">
              <w:t xml:space="preserve">: Tổng điểm phân bổ của địa phương </w:t>
            </w:r>
            <w:r w:rsidRPr="002639A8">
              <w:rPr>
                <w:i/>
                <w:iCs/>
              </w:rPr>
              <w:t>i</w:t>
            </w:r>
            <w:r w:rsidRPr="002639A8">
              <w:t xml:space="preserve">; </w:t>
            </w:r>
          </w:p>
          <w:p w14:paraId="026228F7" w14:textId="77777777" w:rsidR="00855CF7" w:rsidRPr="002639A8" w:rsidRDefault="00855CF7" w:rsidP="006C5E19">
            <w:pPr>
              <w:spacing w:before="120"/>
              <w:jc w:val="both"/>
            </w:pPr>
            <w:r w:rsidRPr="002639A8">
              <w:t>TDK</w:t>
            </w:r>
            <w:r w:rsidRPr="002639A8">
              <w:rPr>
                <w:i/>
                <w:iCs/>
                <w:vertAlign w:val="subscript"/>
              </w:rPr>
              <w:t>i</w:t>
            </w:r>
            <w:r w:rsidRPr="002639A8">
              <w:t>: Số thôn đặc biệt khó khăn vùng đồng bào DTTS&amp;MN của địa phương i;</w:t>
            </w:r>
          </w:p>
          <w:p w14:paraId="0ACA4415" w14:textId="77777777" w:rsidR="00855CF7" w:rsidRPr="002639A8" w:rsidRDefault="00855CF7" w:rsidP="006C5E19">
            <w:pPr>
              <w:spacing w:before="120"/>
              <w:jc w:val="both"/>
            </w:pPr>
            <w:r w:rsidRPr="002639A8">
              <w:t>XK3</w:t>
            </w:r>
            <w:r w:rsidRPr="002639A8">
              <w:rPr>
                <w:i/>
                <w:iCs/>
                <w:vertAlign w:val="subscript"/>
              </w:rPr>
              <w:t>i</w:t>
            </w:r>
            <w:r w:rsidRPr="002639A8">
              <w:t>: Số xã khu vực III vùng đồng bào DTTS&amp;MN, xã ATK, xã biên giới, xã đảo, đặc khu của địa phương i;</w:t>
            </w:r>
          </w:p>
          <w:p w14:paraId="0CA27D86" w14:textId="77777777" w:rsidR="00855CF7" w:rsidRPr="002639A8" w:rsidRDefault="00855CF7" w:rsidP="006C5E19">
            <w:pPr>
              <w:spacing w:before="120"/>
              <w:jc w:val="both"/>
            </w:pPr>
            <w:r w:rsidRPr="002639A8">
              <w:t>XK2</w:t>
            </w:r>
            <w:r w:rsidRPr="002639A8">
              <w:rPr>
                <w:i/>
                <w:iCs/>
                <w:vertAlign w:val="subscript"/>
              </w:rPr>
              <w:t>i</w:t>
            </w:r>
            <w:r w:rsidRPr="002639A8">
              <w:t>: Số xã khu vực II vùng đồng bào DTTS&amp;MN của địa phương i;</w:t>
            </w:r>
          </w:p>
          <w:p w14:paraId="50B64860" w14:textId="77777777" w:rsidR="00855CF7" w:rsidRPr="002639A8" w:rsidRDefault="00855CF7" w:rsidP="006C5E19">
            <w:pPr>
              <w:spacing w:before="120"/>
              <w:jc w:val="both"/>
            </w:pPr>
            <w:r w:rsidRPr="002639A8">
              <w:t>XK1</w:t>
            </w:r>
            <w:r w:rsidRPr="002639A8">
              <w:rPr>
                <w:i/>
                <w:iCs/>
                <w:vertAlign w:val="subscript"/>
              </w:rPr>
              <w:t>i</w:t>
            </w:r>
            <w:r w:rsidRPr="002639A8">
              <w:t>: Số xã khu vực I vùng đồng bào dân tộc thiểu số và miền núi của địa phương i;</w:t>
            </w:r>
          </w:p>
          <w:p w14:paraId="7C035920" w14:textId="77777777" w:rsidR="00855CF7" w:rsidRPr="002639A8" w:rsidRDefault="00855CF7" w:rsidP="006C5E19">
            <w:pPr>
              <w:spacing w:before="120"/>
              <w:jc w:val="both"/>
            </w:pPr>
            <w:r w:rsidRPr="002639A8">
              <w:t>XCL</w:t>
            </w:r>
            <w:r w:rsidRPr="002639A8">
              <w:rPr>
                <w:i/>
                <w:iCs/>
                <w:vertAlign w:val="subscript"/>
              </w:rPr>
              <w:t>i</w:t>
            </w:r>
            <w:r w:rsidRPr="002639A8">
              <w:t>: Số xã còn lại của địa phương i;</w:t>
            </w:r>
          </w:p>
          <w:p w14:paraId="277F1A29" w14:textId="77777777" w:rsidR="00855CF7" w:rsidRPr="002639A8" w:rsidRDefault="00855CF7" w:rsidP="006C5E19">
            <w:pPr>
              <w:spacing w:before="120"/>
              <w:jc w:val="both"/>
            </w:pPr>
            <w:r w:rsidRPr="002639A8">
              <w:t>N</w:t>
            </w:r>
            <w:r w:rsidRPr="002639A8">
              <w:rPr>
                <w:i/>
                <w:iCs/>
                <w:vertAlign w:val="subscript"/>
              </w:rPr>
              <w:t>i</w:t>
            </w:r>
            <w:r w:rsidRPr="002639A8">
              <w:rPr>
                <w:i/>
              </w:rPr>
              <w:t>:</w:t>
            </w:r>
            <w:r w:rsidRPr="002639A8">
              <w:t xml:space="preserve"> Tổng số xã của địa phương i;</w:t>
            </w:r>
          </w:p>
          <w:p w14:paraId="521B6259" w14:textId="77777777" w:rsidR="00855CF7" w:rsidRPr="002639A8" w:rsidRDefault="00855CF7" w:rsidP="006C5E19">
            <w:pPr>
              <w:spacing w:before="120"/>
              <w:jc w:val="both"/>
            </w:pPr>
            <w:r w:rsidRPr="002639A8">
              <w:lastRenderedPageBreak/>
              <w:t>H</w:t>
            </w:r>
            <w:r w:rsidRPr="002639A8">
              <w:rPr>
                <w:i/>
                <w:iCs/>
                <w:vertAlign w:val="subscript"/>
              </w:rPr>
              <w:t>i</w:t>
            </w:r>
            <w:r w:rsidRPr="002639A8">
              <w:t>: Hệ số ưu tiên của địa phương i, được xác định theo quy định tại khoản 2 Điều 4 của Quyết định này.</w:t>
            </w:r>
          </w:p>
          <w:p w14:paraId="7F98C6CC" w14:textId="77777777" w:rsidR="00855CF7" w:rsidRPr="002639A8" w:rsidRDefault="00855CF7" w:rsidP="006C5E19">
            <w:pPr>
              <w:spacing w:before="120"/>
              <w:jc w:val="both"/>
            </w:pPr>
            <w:r w:rsidRPr="002639A8">
              <w:t>b) Xác định tổng điểm phân bổ của cả nước</w:t>
            </w:r>
          </w:p>
          <w:p w14:paraId="230F717A" w14:textId="77777777" w:rsidR="00855CF7" w:rsidRPr="002639A8" w:rsidRDefault="00855CF7" w:rsidP="006C5E19">
            <w:pPr>
              <w:spacing w:before="120"/>
              <w:jc w:val="both"/>
            </w:pPr>
            <w:r w:rsidRPr="002639A8">
              <w:t>Tổng điểm phân bổ của tất cả các địa phương được xác định bằng tổng điểm phân bổ của từng địa phương, cụ thể như sau:</w:t>
            </w:r>
          </w:p>
          <w:p w14:paraId="2281286B" w14:textId="77777777" w:rsidR="00855CF7" w:rsidRPr="002639A8" w:rsidRDefault="00855CF7" w:rsidP="006C5E19">
            <w:pPr>
              <w:spacing w:before="120"/>
              <w:jc w:val="both"/>
              <w:rPr>
                <w:i/>
              </w:rPr>
            </w:pPr>
            <w:r w:rsidRPr="002639A8">
              <w:rPr>
                <w:noProof/>
              </w:rPr>
              <w:drawing>
                <wp:inline distT="0" distB="0" distL="114300" distR="114300" wp14:anchorId="3A4EBDB8" wp14:editId="79D11169">
                  <wp:extent cx="1063625" cy="58166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rcRect t="8810"/>
                          <a:stretch>
                            <a:fillRect/>
                          </a:stretch>
                        </pic:blipFill>
                        <pic:spPr>
                          <a:xfrm>
                            <a:off x="0" y="0"/>
                            <a:ext cx="1063625" cy="581660"/>
                          </a:xfrm>
                          <a:prstGeom prst="rect">
                            <a:avLst/>
                          </a:prstGeom>
                          <a:noFill/>
                          <a:ln>
                            <a:noFill/>
                          </a:ln>
                        </pic:spPr>
                      </pic:pic>
                    </a:graphicData>
                  </a:graphic>
                </wp:inline>
              </w:drawing>
            </w:r>
          </w:p>
          <w:p w14:paraId="4FF85534" w14:textId="77777777" w:rsidR="00855CF7" w:rsidRPr="002639A8" w:rsidRDefault="00855CF7" w:rsidP="006C5E19">
            <w:pPr>
              <w:spacing w:before="120"/>
              <w:jc w:val="both"/>
            </w:pPr>
            <w:r w:rsidRPr="002639A8">
              <w:t>Trong đó:</w:t>
            </w:r>
          </w:p>
          <w:p w14:paraId="04E99EE9" w14:textId="77777777" w:rsidR="00855CF7" w:rsidRPr="002639A8" w:rsidRDefault="00855CF7" w:rsidP="006C5E19">
            <w:pPr>
              <w:spacing w:before="120"/>
              <w:jc w:val="both"/>
            </w:pPr>
            <w:r w:rsidRPr="002639A8">
              <w:rPr>
                <w:i/>
              </w:rPr>
              <w:t>T</w:t>
            </w:r>
            <w:r w:rsidRPr="002639A8">
              <w:rPr>
                <w:i/>
                <w:vertAlign w:val="subscript"/>
              </w:rPr>
              <w:t>QG</w:t>
            </w:r>
            <w:r w:rsidRPr="002639A8">
              <w:t>: Tổng điểm phân bổ của cả nước;</w:t>
            </w:r>
          </w:p>
          <w:p w14:paraId="1181FD28" w14:textId="77777777" w:rsidR="00855CF7" w:rsidRPr="002639A8" w:rsidRDefault="00855CF7" w:rsidP="006C5E19">
            <w:pPr>
              <w:spacing w:before="120"/>
              <w:jc w:val="both"/>
            </w:pPr>
            <w:r w:rsidRPr="002639A8">
              <w:rPr>
                <w:i/>
                <w:iCs/>
              </w:rPr>
              <w:t>n</w:t>
            </w:r>
            <w:r w:rsidRPr="002639A8">
              <w:t>: Tổng số tỉnh, thành phố được phân bổ vốn ngân sách trung ương theo Quyết định này.</w:t>
            </w:r>
          </w:p>
          <w:p w14:paraId="42D996F6" w14:textId="77777777" w:rsidR="00855CF7" w:rsidRPr="002639A8" w:rsidRDefault="00855CF7" w:rsidP="006C5E19">
            <w:pPr>
              <w:spacing w:before="120"/>
              <w:jc w:val="both"/>
            </w:pPr>
            <w:r w:rsidRPr="002639A8">
              <w:t>c) Xác định giá trị của một (01) điểm phân bổ</w:t>
            </w:r>
          </w:p>
          <w:p w14:paraId="30813462" w14:textId="77777777" w:rsidR="00855CF7" w:rsidRPr="002639A8" w:rsidRDefault="00855CF7" w:rsidP="006C5E19">
            <w:pPr>
              <w:spacing w:before="120"/>
              <w:jc w:val="both"/>
            </w:pPr>
            <w:r w:rsidRPr="002639A8">
              <w:t>Giá trị của một (01) điểm phân bổ được xác định theo công thức sau:</w:t>
            </w:r>
          </w:p>
          <w:tbl>
            <w:tblPr>
              <w:tblW w:w="0" w:type="auto"/>
              <w:jc w:val="center"/>
              <w:tblLook w:val="04A0" w:firstRow="1" w:lastRow="0" w:firstColumn="1" w:lastColumn="0" w:noHBand="0" w:noVBand="1"/>
            </w:tblPr>
            <w:tblGrid>
              <w:gridCol w:w="1184"/>
              <w:gridCol w:w="1184"/>
            </w:tblGrid>
            <w:tr w:rsidR="00855CF7" w:rsidRPr="002639A8" w14:paraId="6CAC3B67" w14:textId="77777777" w:rsidTr="00590CFA">
              <w:trPr>
                <w:trHeight w:val="397"/>
                <w:jc w:val="center"/>
              </w:trPr>
              <w:tc>
                <w:tcPr>
                  <w:tcW w:w="1184" w:type="dxa"/>
                  <w:vMerge w:val="restart"/>
                  <w:shd w:val="clear" w:color="auto" w:fill="auto"/>
                  <w:vAlign w:val="center"/>
                </w:tcPr>
                <w:p w14:paraId="67C36559" w14:textId="77777777" w:rsidR="00855CF7" w:rsidRPr="002639A8" w:rsidRDefault="00855CF7" w:rsidP="006C5E19">
                  <w:pPr>
                    <w:spacing w:before="120"/>
                    <w:jc w:val="both"/>
                    <w:rPr>
                      <w:i/>
                    </w:rPr>
                  </w:pPr>
                  <w:r w:rsidRPr="002639A8">
                    <w:rPr>
                      <w:i/>
                    </w:rPr>
                    <w:t>G =</w:t>
                  </w:r>
                </w:p>
              </w:tc>
              <w:tc>
                <w:tcPr>
                  <w:tcW w:w="1184" w:type="dxa"/>
                  <w:tcBorders>
                    <w:bottom w:val="single" w:sz="4" w:space="0" w:color="auto"/>
                  </w:tcBorders>
                  <w:shd w:val="clear" w:color="auto" w:fill="auto"/>
                  <w:vAlign w:val="center"/>
                </w:tcPr>
                <w:p w14:paraId="4E13E7B0" w14:textId="77777777" w:rsidR="00855CF7" w:rsidRPr="002639A8" w:rsidRDefault="00855CF7" w:rsidP="006C5E19">
                  <w:pPr>
                    <w:spacing w:before="120"/>
                    <w:jc w:val="both"/>
                    <w:rPr>
                      <w:i/>
                    </w:rPr>
                  </w:pPr>
                  <w:r w:rsidRPr="002639A8">
                    <w:rPr>
                      <w:i/>
                    </w:rPr>
                    <w:t>V</w:t>
                  </w:r>
                  <w:r w:rsidRPr="002639A8">
                    <w:rPr>
                      <w:i/>
                      <w:vertAlign w:val="subscript"/>
                    </w:rPr>
                    <w:t>TW</w:t>
                  </w:r>
                </w:p>
              </w:tc>
            </w:tr>
            <w:tr w:rsidR="00855CF7" w:rsidRPr="002639A8" w14:paraId="7A5108B8" w14:textId="77777777" w:rsidTr="00590CFA">
              <w:trPr>
                <w:trHeight w:val="403"/>
                <w:jc w:val="center"/>
              </w:trPr>
              <w:tc>
                <w:tcPr>
                  <w:tcW w:w="1184" w:type="dxa"/>
                  <w:vMerge/>
                  <w:shd w:val="clear" w:color="auto" w:fill="auto"/>
                  <w:vAlign w:val="center"/>
                </w:tcPr>
                <w:p w14:paraId="266FD0E9" w14:textId="77777777" w:rsidR="00855CF7" w:rsidRPr="002639A8" w:rsidRDefault="00855CF7" w:rsidP="006C5E19">
                  <w:pPr>
                    <w:spacing w:before="120"/>
                    <w:jc w:val="both"/>
                    <w:rPr>
                      <w:i/>
                    </w:rPr>
                  </w:pPr>
                </w:p>
              </w:tc>
              <w:tc>
                <w:tcPr>
                  <w:tcW w:w="1184" w:type="dxa"/>
                  <w:tcBorders>
                    <w:top w:val="single" w:sz="4" w:space="0" w:color="auto"/>
                  </w:tcBorders>
                  <w:shd w:val="clear" w:color="auto" w:fill="auto"/>
                  <w:vAlign w:val="center"/>
                </w:tcPr>
                <w:p w14:paraId="2AAE431A" w14:textId="77777777" w:rsidR="00855CF7" w:rsidRPr="002639A8" w:rsidRDefault="00855CF7" w:rsidP="006C5E19">
                  <w:pPr>
                    <w:spacing w:before="120"/>
                    <w:jc w:val="both"/>
                    <w:rPr>
                      <w:i/>
                    </w:rPr>
                  </w:pPr>
                  <w:r w:rsidRPr="002639A8">
                    <w:rPr>
                      <w:i/>
                    </w:rPr>
                    <w:t>T</w:t>
                  </w:r>
                  <w:r w:rsidRPr="002639A8">
                    <w:rPr>
                      <w:i/>
                      <w:vertAlign w:val="subscript"/>
                    </w:rPr>
                    <w:t>QG</w:t>
                  </w:r>
                </w:p>
              </w:tc>
            </w:tr>
          </w:tbl>
          <w:p w14:paraId="11C8779A" w14:textId="77777777" w:rsidR="00855CF7" w:rsidRPr="002639A8" w:rsidRDefault="00855CF7" w:rsidP="006C5E19">
            <w:pPr>
              <w:spacing w:before="120"/>
              <w:jc w:val="both"/>
            </w:pPr>
            <w:r w:rsidRPr="002639A8">
              <w:t>Trong đó:</w:t>
            </w:r>
          </w:p>
          <w:p w14:paraId="52A1130E" w14:textId="77777777" w:rsidR="00855CF7" w:rsidRPr="002639A8" w:rsidRDefault="00855CF7" w:rsidP="006C5E19">
            <w:pPr>
              <w:spacing w:before="120"/>
              <w:jc w:val="both"/>
            </w:pPr>
            <w:r w:rsidRPr="002639A8">
              <w:rPr>
                <w:i/>
              </w:rPr>
              <w:t>G:</w:t>
            </w:r>
            <w:r w:rsidRPr="002639A8">
              <w:t xml:space="preserve"> Giá trị của một (01) điểm phân bổ (đồng/điểm);</w:t>
            </w:r>
          </w:p>
          <w:p w14:paraId="0864DE33" w14:textId="77777777" w:rsidR="00855CF7" w:rsidRPr="002639A8" w:rsidRDefault="00855CF7" w:rsidP="006C5E19">
            <w:pPr>
              <w:spacing w:before="120"/>
              <w:jc w:val="both"/>
            </w:pPr>
            <w:r w:rsidRPr="002639A8">
              <w:rPr>
                <w:i/>
              </w:rPr>
              <w:t>V</w:t>
            </w:r>
            <w:r w:rsidRPr="002639A8">
              <w:rPr>
                <w:i/>
                <w:vertAlign w:val="subscript"/>
              </w:rPr>
              <w:t>TW</w:t>
            </w:r>
            <w:r w:rsidRPr="002639A8">
              <w:t>: Tổng vốn ngân sách trung ương bố trí để phân bổ thực hiện Chương trình theo kỳ kế hoạch.</w:t>
            </w:r>
          </w:p>
          <w:p w14:paraId="20AD0366" w14:textId="77777777" w:rsidR="00855CF7" w:rsidRPr="002639A8" w:rsidRDefault="00855CF7" w:rsidP="006C5E19">
            <w:pPr>
              <w:spacing w:before="120"/>
              <w:jc w:val="both"/>
            </w:pPr>
            <w:r w:rsidRPr="002639A8">
              <w:lastRenderedPageBreak/>
              <w:t>d) Xác định mức vốn ngân sách trung ương phân bổ cho từng địa phương</w:t>
            </w:r>
          </w:p>
          <w:p w14:paraId="286834BA" w14:textId="77777777" w:rsidR="00855CF7" w:rsidRPr="002639A8" w:rsidRDefault="00855CF7" w:rsidP="006C5E19">
            <w:pPr>
              <w:spacing w:before="120"/>
              <w:jc w:val="both"/>
            </w:pPr>
            <w:r w:rsidRPr="002639A8">
              <w:t>Mức vốn ngân sách trung ương phân bổ cho địa phương</w:t>
            </w:r>
            <w:r w:rsidRPr="002639A8">
              <w:rPr>
                <w:i/>
              </w:rPr>
              <w:t xml:space="preserve"> i</w:t>
            </w:r>
            <w:r w:rsidRPr="002639A8">
              <w:t xml:space="preserve"> được xác định như sau:</w:t>
            </w:r>
          </w:p>
          <w:p w14:paraId="40BB80C9" w14:textId="77777777" w:rsidR="00855CF7" w:rsidRPr="002639A8" w:rsidRDefault="00855CF7" w:rsidP="006C5E19">
            <w:pPr>
              <w:spacing w:before="120"/>
              <w:jc w:val="both"/>
            </w:pPr>
            <w:r w:rsidRPr="002639A8">
              <w:rPr>
                <w:i/>
              </w:rPr>
              <w:t>V</w:t>
            </w:r>
            <w:r w:rsidRPr="002639A8">
              <w:rPr>
                <w:i/>
                <w:vertAlign w:val="subscript"/>
              </w:rPr>
              <w:t>i</w:t>
            </w:r>
            <w:r w:rsidRPr="002639A8">
              <w:rPr>
                <w:i/>
              </w:rPr>
              <w:t xml:space="preserve"> = T</w:t>
            </w:r>
            <w:r w:rsidRPr="002639A8">
              <w:rPr>
                <w:i/>
                <w:vertAlign w:val="subscript"/>
              </w:rPr>
              <w:t>i</w:t>
            </w:r>
            <w:r w:rsidRPr="002639A8">
              <w:rPr>
                <w:i/>
              </w:rPr>
              <w:t xml:space="preserve"> x G</w:t>
            </w:r>
          </w:p>
          <w:p w14:paraId="74488837" w14:textId="77777777" w:rsidR="00855CF7" w:rsidRPr="002639A8" w:rsidRDefault="00855CF7" w:rsidP="006C5E19">
            <w:pPr>
              <w:spacing w:before="120"/>
              <w:jc w:val="both"/>
            </w:pPr>
            <w:r w:rsidRPr="002639A8">
              <w:t>Trong đó:</w:t>
            </w:r>
          </w:p>
          <w:p w14:paraId="1D9EA716" w14:textId="77777777" w:rsidR="00855CF7" w:rsidRPr="002639A8" w:rsidRDefault="00855CF7" w:rsidP="006C5E19">
            <w:pPr>
              <w:spacing w:before="120"/>
              <w:jc w:val="both"/>
            </w:pPr>
            <w:r w:rsidRPr="002639A8">
              <w:rPr>
                <w:i/>
              </w:rPr>
              <w:t>V</w:t>
            </w:r>
            <w:r w:rsidRPr="002639A8">
              <w:rPr>
                <w:i/>
                <w:vertAlign w:val="subscript"/>
              </w:rPr>
              <w:t>i</w:t>
            </w:r>
            <w:r w:rsidRPr="002639A8">
              <w:t>: Mức vốn ngân sách trung ương phân bổ cho địa phương i;</w:t>
            </w:r>
          </w:p>
          <w:p w14:paraId="6A7CA944" w14:textId="77777777" w:rsidR="00855CF7" w:rsidRPr="002639A8" w:rsidRDefault="00855CF7" w:rsidP="006C5E19">
            <w:pPr>
              <w:spacing w:before="120"/>
              <w:jc w:val="both"/>
            </w:pPr>
            <w:r w:rsidRPr="002639A8">
              <w:rPr>
                <w:i/>
              </w:rPr>
              <w:t>T</w:t>
            </w:r>
            <w:r w:rsidRPr="002639A8">
              <w:rPr>
                <w:i/>
                <w:vertAlign w:val="subscript"/>
              </w:rPr>
              <w:t>i</w:t>
            </w:r>
            <w:r w:rsidRPr="002639A8">
              <w:t>: Tổng điểm phân bổ của địa phương i;</w:t>
            </w:r>
          </w:p>
          <w:p w14:paraId="73EE7A50" w14:textId="759D2591" w:rsidR="00855CF7" w:rsidRPr="002639A8" w:rsidRDefault="00855CF7" w:rsidP="006C5E19">
            <w:pPr>
              <w:spacing w:before="120"/>
              <w:jc w:val="both"/>
            </w:pPr>
            <w:r w:rsidRPr="002639A8">
              <w:rPr>
                <w:i/>
              </w:rPr>
              <w:t>G:</w:t>
            </w:r>
            <w:r w:rsidRPr="002639A8">
              <w:t xml:space="preserve"> Giá trị của một (01) điểm phân bổ.</w:t>
            </w:r>
          </w:p>
        </w:tc>
        <w:tc>
          <w:tcPr>
            <w:tcW w:w="3178" w:type="dxa"/>
            <w:vAlign w:val="center"/>
          </w:tcPr>
          <w:p w14:paraId="1ED746A7" w14:textId="74F85336" w:rsidR="00855CF7" w:rsidRPr="002639A8" w:rsidRDefault="00855CF7" w:rsidP="006C5E19">
            <w:pPr>
              <w:jc w:val="both"/>
              <w:rPr>
                <w:lang w:val="sv-SE"/>
              </w:rPr>
            </w:pPr>
            <w:r w:rsidRPr="002639A8">
              <w:rPr>
                <w:lang w:val="sv-SE"/>
              </w:rPr>
              <w:lastRenderedPageBreak/>
              <w:t>Bảo đảm tính hợp hiến, hợp pháp, thống nhất với quy định của Trung ương.</w:t>
            </w:r>
          </w:p>
        </w:tc>
        <w:tc>
          <w:tcPr>
            <w:tcW w:w="2327" w:type="dxa"/>
            <w:vAlign w:val="center"/>
          </w:tcPr>
          <w:p w14:paraId="43BE243F" w14:textId="4C50EF8B" w:rsidR="00855CF7" w:rsidRPr="002639A8" w:rsidRDefault="00855CF7" w:rsidP="006C5E19">
            <w:pPr>
              <w:jc w:val="both"/>
              <w:rPr>
                <w:lang w:val="sv-SE"/>
              </w:rPr>
            </w:pPr>
            <w:r w:rsidRPr="002639A8">
              <w:t>Tiếp tục kế thừa</w:t>
            </w:r>
          </w:p>
        </w:tc>
      </w:tr>
      <w:tr w:rsidR="00667470" w:rsidRPr="002639A8" w14:paraId="4356799E" w14:textId="77777777" w:rsidTr="006C5E19">
        <w:trPr>
          <w:trHeight w:val="1005"/>
        </w:trPr>
        <w:tc>
          <w:tcPr>
            <w:tcW w:w="3969" w:type="dxa"/>
            <w:vAlign w:val="center"/>
          </w:tcPr>
          <w:p w14:paraId="7110B90D" w14:textId="77777777" w:rsidR="00667470" w:rsidRPr="006C5E19" w:rsidRDefault="00855CF7" w:rsidP="006C5E19">
            <w:pPr>
              <w:jc w:val="both"/>
              <w:rPr>
                <w:bCs/>
                <w:lang w:val="sv-SE"/>
              </w:rPr>
            </w:pPr>
            <w:r w:rsidRPr="006C5E19">
              <w:rPr>
                <w:bCs/>
                <w:lang w:val="sv-SE"/>
              </w:rPr>
              <w:lastRenderedPageBreak/>
              <w:t>Khoản 4 Điều 5</w:t>
            </w:r>
            <w:r w:rsidR="00F95267" w:rsidRPr="006C5E19">
              <w:rPr>
                <w:bCs/>
                <w:lang w:val="sv-SE"/>
              </w:rPr>
              <w:t>:</w:t>
            </w:r>
          </w:p>
          <w:p w14:paraId="0A9F3A09" w14:textId="77777777" w:rsidR="006C5E19" w:rsidRPr="006C5E19" w:rsidRDefault="006C5E19" w:rsidP="006C5E19">
            <w:pPr>
              <w:spacing w:before="120" w:after="120"/>
              <w:jc w:val="both"/>
              <w:rPr>
                <w:lang w:val="sv-SE"/>
              </w:rPr>
            </w:pPr>
            <w:r w:rsidRPr="006C5E19">
              <w:rPr>
                <w:lang w:val="sv-SE"/>
              </w:rPr>
              <w:t>4. Căn cứ xác định số liệu</w:t>
            </w:r>
          </w:p>
          <w:p w14:paraId="198231A1" w14:textId="77777777" w:rsidR="006C5E19" w:rsidRPr="006C5E19" w:rsidRDefault="006C5E19" w:rsidP="006C5E19">
            <w:pPr>
              <w:spacing w:before="120" w:after="120"/>
              <w:jc w:val="both"/>
              <w:rPr>
                <w:lang w:val="sv-SE"/>
              </w:rPr>
            </w:pPr>
            <w:r w:rsidRPr="006C5E19">
              <w:rPr>
                <w:lang w:val="sv-SE"/>
              </w:rPr>
              <w:t>a) Số lượng xã của địa phương được xác định theo các Nghị quyết của Ủy ban Thường vụ Quốc hội về sắp xếp các đơn vị hành chính cấp xã của 34 tỉnh, thành phố;</w:t>
            </w:r>
          </w:p>
          <w:p w14:paraId="24514C08" w14:textId="32B6B678" w:rsidR="00F95267" w:rsidRPr="006C5E19" w:rsidRDefault="006C5E19" w:rsidP="006C5E19">
            <w:pPr>
              <w:jc w:val="both"/>
              <w:rPr>
                <w:bCs/>
                <w:lang w:val="sv-SE"/>
              </w:rPr>
            </w:pPr>
            <w:r w:rsidRPr="006C5E19">
              <w:rPr>
                <w:lang w:val="sv-SE"/>
              </w:rPr>
              <w:t>b) Số lượng thôn đặc biệt khó khăn và xã khu vực I, II, III vùng đồng bào DTTS&amp;MN do Bộ Dân tộc và Tôn giáo công bố theo quy định tại điểm c khoản 2 Điều 13 Nghị định số 272/2025/NĐ-CP ngày 16 tháng 10 năm 2025 của Chính phủ về phân định vùng đồng bào DTTS&amp;MN giai đoạn 2026 – 2030.</w:t>
            </w:r>
          </w:p>
        </w:tc>
        <w:tc>
          <w:tcPr>
            <w:tcW w:w="5272" w:type="dxa"/>
            <w:vAlign w:val="center"/>
          </w:tcPr>
          <w:p w14:paraId="5547DEA1" w14:textId="77777777" w:rsidR="00667470" w:rsidRPr="002639A8" w:rsidRDefault="00F95267" w:rsidP="006C5E19">
            <w:pPr>
              <w:jc w:val="both"/>
              <w:rPr>
                <w:bCs/>
                <w:bdr w:val="none" w:sz="0" w:space="0" w:color="auto" w:frame="1"/>
                <w:lang w:val="sv-SE"/>
              </w:rPr>
            </w:pPr>
            <w:r w:rsidRPr="002639A8">
              <w:rPr>
                <w:bCs/>
                <w:bdr w:val="none" w:sz="0" w:space="0" w:color="auto" w:frame="1"/>
                <w:lang w:val="sv-SE"/>
              </w:rPr>
              <w:t>Tại khoản 4 Điều 4, Quyết định số 16/2026/QĐ-TTg ngày 15/4/2026:</w:t>
            </w:r>
          </w:p>
          <w:p w14:paraId="27C961CA" w14:textId="77777777" w:rsidR="00F95267" w:rsidRPr="002639A8" w:rsidRDefault="00F95267" w:rsidP="006C5E19">
            <w:pPr>
              <w:jc w:val="both"/>
              <w:rPr>
                <w:bCs/>
                <w:bdr w:val="none" w:sz="0" w:space="0" w:color="auto" w:frame="1"/>
                <w:lang w:val="sv-SE"/>
              </w:rPr>
            </w:pPr>
            <w:r w:rsidRPr="002639A8">
              <w:rPr>
                <w:bCs/>
                <w:bdr w:val="none" w:sz="0" w:space="0" w:color="auto" w:frame="1"/>
                <w:lang w:val="sv-SE"/>
              </w:rPr>
              <w:t>4. Căn cứ xác định số liệu</w:t>
            </w:r>
          </w:p>
          <w:p w14:paraId="73B954BA" w14:textId="77777777" w:rsidR="00F95267" w:rsidRPr="002639A8" w:rsidRDefault="00F95267" w:rsidP="006C5E19">
            <w:pPr>
              <w:jc w:val="both"/>
              <w:rPr>
                <w:bCs/>
                <w:bdr w:val="none" w:sz="0" w:space="0" w:color="auto" w:frame="1"/>
                <w:lang w:val="sv-SE"/>
              </w:rPr>
            </w:pPr>
            <w:r w:rsidRPr="002639A8">
              <w:rPr>
                <w:bCs/>
                <w:bdr w:val="none" w:sz="0" w:space="0" w:color="auto" w:frame="1"/>
                <w:lang w:val="sv-SE"/>
              </w:rPr>
              <w:t>a) Số lượng xã của địa phương được xác định theo các Nghị quyết của Ủy ban Thường vụ Quốc hội về sắp xếp các đơn vị hành chính cấp xã của 34 tỉnh, thành phố;</w:t>
            </w:r>
          </w:p>
          <w:p w14:paraId="27F45550" w14:textId="77777777" w:rsidR="00F95267" w:rsidRPr="002639A8" w:rsidRDefault="00F95267" w:rsidP="006C5E19">
            <w:pPr>
              <w:jc w:val="both"/>
              <w:rPr>
                <w:bCs/>
                <w:bdr w:val="none" w:sz="0" w:space="0" w:color="auto" w:frame="1"/>
                <w:lang w:val="sv-SE"/>
              </w:rPr>
            </w:pPr>
            <w:r w:rsidRPr="002639A8">
              <w:rPr>
                <w:bCs/>
                <w:bdr w:val="none" w:sz="0" w:space="0" w:color="auto" w:frame="1"/>
                <w:lang w:val="sv-SE"/>
              </w:rPr>
              <w:t>b) Số lượng thôn đặc biệt khó khăn và xã khu vực I, II, III vùng đồng bào DTTS&amp;MN do Bộ Dân tộc và Tôn giáo công bố theo quy định tại điểm c khoản 2 Điều 13 Nghị định số 272/2025/NĐ-CP ngày 16 tháng 10 năm 2025 của Chính phủ về phân định vùng đồng bào DTTS&amp;MN giai đoạn 2026 - 2030;</w:t>
            </w:r>
          </w:p>
          <w:p w14:paraId="6379ADB6" w14:textId="77777777" w:rsidR="00F95267" w:rsidRPr="002639A8" w:rsidRDefault="00F95267" w:rsidP="006C5E19">
            <w:pPr>
              <w:jc w:val="both"/>
              <w:rPr>
                <w:bCs/>
                <w:bdr w:val="none" w:sz="0" w:space="0" w:color="auto" w:frame="1"/>
                <w:lang w:val="sv-SE"/>
              </w:rPr>
            </w:pPr>
            <w:r w:rsidRPr="002639A8">
              <w:rPr>
                <w:bCs/>
                <w:bdr w:val="none" w:sz="0" w:space="0" w:color="auto" w:frame="1"/>
                <w:lang w:val="sv-SE"/>
              </w:rPr>
              <w:t xml:space="preserve">c) Số lượng xã khu vực biên giới đất liền, xã khu vực biên giới biển theo Phụ lục I và II quy định tại Nghị định số 299/2025/NĐ-CP ngày 17 tháng 11 năm 2025 của Chính phủ sửa đổi, bổ sung một số điều các </w:t>
            </w:r>
            <w:r w:rsidRPr="002639A8">
              <w:rPr>
                <w:bCs/>
                <w:bdr w:val="none" w:sz="0" w:space="0" w:color="auto" w:frame="1"/>
                <w:lang w:val="sv-SE"/>
              </w:rPr>
              <w:lastRenderedPageBreak/>
              <w:t>Nghị định của Chính phủ về biên phòng, biên giới quốc gia;</w:t>
            </w:r>
          </w:p>
          <w:p w14:paraId="4E09FC2D" w14:textId="77777777" w:rsidR="00F95267" w:rsidRPr="002639A8" w:rsidRDefault="00F95267" w:rsidP="006C5E19">
            <w:pPr>
              <w:jc w:val="both"/>
              <w:rPr>
                <w:bCs/>
                <w:bdr w:val="none" w:sz="0" w:space="0" w:color="auto" w:frame="1"/>
                <w:lang w:val="sv-SE"/>
              </w:rPr>
            </w:pPr>
            <w:r w:rsidRPr="002639A8">
              <w:rPr>
                <w:bCs/>
                <w:bdr w:val="none" w:sz="0" w:space="0" w:color="auto" w:frame="1"/>
                <w:lang w:val="sv-SE"/>
              </w:rPr>
              <w:t>d) Số lượng xã đảo (bao gồm cả các đặc khu), xã ATK do Ủy ban nhân dân cấp tỉnh công bố, công nhận theo quy định tại khoản 3 Điều 5 và điểm d khoản 3 Điều 8 Quyết định số 40/2025/QĐ-TTg ngày 31 tháng 10 năm 2025 của Thủ tướng Chính phủ về tiêu chí, trình tự, thủ tục công nhận xã đảo, xã ATK trong thời kỳ kháng chiến chống Pháp và chống Mỹ;</w:t>
            </w:r>
          </w:p>
          <w:p w14:paraId="5DDE9ACF" w14:textId="701C3B1D" w:rsidR="00F95267" w:rsidRPr="002639A8" w:rsidRDefault="00F95267" w:rsidP="006C5E19">
            <w:pPr>
              <w:jc w:val="both"/>
              <w:rPr>
                <w:bCs/>
                <w:bdr w:val="none" w:sz="0" w:space="0" w:color="auto" w:frame="1"/>
                <w:lang w:val="sv-SE"/>
              </w:rPr>
            </w:pPr>
            <w:r w:rsidRPr="002639A8">
              <w:rPr>
                <w:bCs/>
                <w:bdr w:val="none" w:sz="0" w:space="0" w:color="auto" w:frame="1"/>
                <w:lang w:val="sv-SE"/>
              </w:rPr>
              <w:t>đ) Danh sách các địa phương tự cân đối ngân sách và tỷ lệ hỗ trợ từ ngân sách trung ương cho các địa phương: Căn cứ theo danh sách các tỉnh, thành phố tự cân đối được ngân sách và tỷ lệ hỗ trợ từ ngân sách trung ương cho các địa phương tại Phụ lục V ban hành kèm theo Nghị quyết số 246/2025/QH15 ngày 14 tháng 11 năm 2025 của Quốc hội về phân bổ ngân sách trung ương năm 2026.</w:t>
            </w:r>
          </w:p>
        </w:tc>
        <w:tc>
          <w:tcPr>
            <w:tcW w:w="3178" w:type="dxa"/>
            <w:vAlign w:val="center"/>
          </w:tcPr>
          <w:p w14:paraId="3FE5D11D" w14:textId="22AE8F31" w:rsidR="00667470" w:rsidRPr="002639A8" w:rsidRDefault="00F95267" w:rsidP="006C5E19">
            <w:pPr>
              <w:jc w:val="both"/>
              <w:rPr>
                <w:lang w:val="sv-SE"/>
              </w:rPr>
            </w:pPr>
            <w:r w:rsidRPr="002639A8">
              <w:rPr>
                <w:lang w:val="sv-SE"/>
              </w:rPr>
              <w:lastRenderedPageBreak/>
              <w:t>Bảo đảm tính hợp hiến, hợp pháp, thống nhất với quy định của Trung ương.</w:t>
            </w:r>
          </w:p>
        </w:tc>
        <w:tc>
          <w:tcPr>
            <w:tcW w:w="2327" w:type="dxa"/>
            <w:vAlign w:val="center"/>
          </w:tcPr>
          <w:p w14:paraId="6E941E2C" w14:textId="74A120F8" w:rsidR="00667470" w:rsidRPr="002639A8" w:rsidRDefault="00667470" w:rsidP="006C5E19">
            <w:pPr>
              <w:jc w:val="both"/>
              <w:rPr>
                <w:lang w:val="sv-SE"/>
              </w:rPr>
            </w:pPr>
            <w:r w:rsidRPr="002639A8">
              <w:t>Tiếp tục kế thừa</w:t>
            </w:r>
          </w:p>
        </w:tc>
      </w:tr>
      <w:tr w:rsidR="00F95267" w:rsidRPr="002639A8" w14:paraId="2C3D58A4" w14:textId="77777777" w:rsidTr="006C5E19">
        <w:trPr>
          <w:trHeight w:val="1005"/>
        </w:trPr>
        <w:tc>
          <w:tcPr>
            <w:tcW w:w="3969" w:type="dxa"/>
            <w:vAlign w:val="center"/>
          </w:tcPr>
          <w:p w14:paraId="366E75B1" w14:textId="77777777" w:rsidR="00F95267" w:rsidRPr="006C5E19" w:rsidRDefault="00105C36" w:rsidP="006C5E19">
            <w:pPr>
              <w:jc w:val="both"/>
              <w:rPr>
                <w:bCs/>
                <w:lang w:val="sv-SE"/>
              </w:rPr>
            </w:pPr>
            <w:r w:rsidRPr="006C5E19">
              <w:rPr>
                <w:bCs/>
                <w:lang w:val="sv-SE"/>
              </w:rPr>
              <w:lastRenderedPageBreak/>
              <w:t>Tại khoản 1 Điều 6:</w:t>
            </w:r>
          </w:p>
          <w:p w14:paraId="44696068" w14:textId="77777777" w:rsidR="006C5E19" w:rsidRPr="006C5E19" w:rsidRDefault="006C5E19" w:rsidP="006C5E19">
            <w:pPr>
              <w:spacing w:before="120" w:after="120"/>
              <w:jc w:val="both"/>
              <w:rPr>
                <w:lang w:val="sv-SE"/>
              </w:rPr>
            </w:pPr>
            <w:r w:rsidRPr="006C5E19">
              <w:rPr>
                <w:lang w:val="sv-SE"/>
              </w:rPr>
              <w:t xml:space="preserve">1. Cơ cấu phân bổ vốn: </w:t>
            </w:r>
          </w:p>
          <w:p w14:paraId="19A45D7C" w14:textId="77777777" w:rsidR="006C5E19" w:rsidRPr="006C5E19" w:rsidRDefault="006C5E19" w:rsidP="006C5E19">
            <w:pPr>
              <w:spacing w:before="120" w:after="120"/>
              <w:jc w:val="both"/>
              <w:rPr>
                <w:spacing w:val="-6"/>
                <w:lang w:val="sv-SE"/>
              </w:rPr>
            </w:pPr>
            <w:r w:rsidRPr="006C5E19">
              <w:rPr>
                <w:spacing w:val="-6"/>
                <w:lang w:val="sv-SE"/>
              </w:rPr>
              <w:t>Tổng vốn ngân sách Thành phố thực hiện Chương trình được phân bổ như sau:</w:t>
            </w:r>
          </w:p>
          <w:p w14:paraId="51A32082" w14:textId="77777777" w:rsidR="006C5E19" w:rsidRPr="006C5E19" w:rsidRDefault="006C5E19" w:rsidP="006C5E19">
            <w:pPr>
              <w:jc w:val="both"/>
              <w:rPr>
                <w:lang w:val="sv-SE"/>
              </w:rPr>
            </w:pPr>
            <w:r w:rsidRPr="006C5E19">
              <w:rPr>
                <w:lang w:val="sv-SE"/>
              </w:rPr>
              <w:t xml:space="preserve">- </w:t>
            </w:r>
            <w:bookmarkStart w:id="3" w:name="OLE_LINK5"/>
            <w:bookmarkStart w:id="4" w:name="OLE_LINK6"/>
            <w:r w:rsidRPr="006C5E19">
              <w:rPr>
                <w:lang w:val="sv-SE"/>
              </w:rPr>
              <w:t>a) 5% tổng vốn Ngân sách Thành phố được bố trí cho các nhiệm vụ do các Sở ngành, đơn vị trực thuộc Thành phố trực tiếp thực hiện các nhiệm vụ thuộc Chương trình.</w:t>
            </w:r>
          </w:p>
          <w:bookmarkEnd w:id="3"/>
          <w:bookmarkEnd w:id="4"/>
          <w:p w14:paraId="7A9DC4E2" w14:textId="7A22F97C" w:rsidR="00105C36" w:rsidRPr="006C5E19" w:rsidRDefault="006C5E19" w:rsidP="006C5E19">
            <w:pPr>
              <w:jc w:val="both"/>
              <w:rPr>
                <w:bCs/>
                <w:lang w:val="sv-SE"/>
              </w:rPr>
            </w:pPr>
            <w:r w:rsidRPr="006C5E19">
              <w:rPr>
                <w:lang w:val="sv-SE"/>
              </w:rPr>
              <w:lastRenderedPageBreak/>
              <w:t>- 95% tổng vốn Ngân sách Thành phố hỗ trợ cho cấp xã để thực hiện các nhiệm vụ thuộc Chương trình.</w:t>
            </w:r>
          </w:p>
        </w:tc>
        <w:tc>
          <w:tcPr>
            <w:tcW w:w="5272" w:type="dxa"/>
            <w:vAlign w:val="center"/>
          </w:tcPr>
          <w:p w14:paraId="7FC15667" w14:textId="5E689414" w:rsidR="00F95267" w:rsidRPr="002639A8" w:rsidRDefault="00105C36" w:rsidP="006C5E19">
            <w:pPr>
              <w:jc w:val="both"/>
              <w:rPr>
                <w:bCs/>
                <w:bdr w:val="none" w:sz="0" w:space="0" w:color="auto" w:frame="1"/>
                <w:lang w:val="sv-SE"/>
              </w:rPr>
            </w:pPr>
            <w:r w:rsidRPr="002639A8">
              <w:rPr>
                <w:bCs/>
                <w:bdr w:val="none" w:sz="0" w:space="0" w:color="auto" w:frame="1"/>
                <w:lang w:val="sv-SE"/>
              </w:rPr>
              <w:lastRenderedPageBreak/>
              <w:t>Khoản 1, Điều 6, Quyết định số 16/2026/QĐ-TTg ngày 15/4/2026:</w:t>
            </w:r>
          </w:p>
          <w:p w14:paraId="7930216B" w14:textId="77777777" w:rsidR="00105C36" w:rsidRPr="002639A8" w:rsidRDefault="00105C36" w:rsidP="006C5E19">
            <w:pPr>
              <w:spacing w:before="120"/>
              <w:jc w:val="both"/>
              <w:rPr>
                <w:lang w:val="sv-SE"/>
              </w:rPr>
            </w:pPr>
            <w:r w:rsidRPr="002639A8">
              <w:rPr>
                <w:lang w:val="sv-SE"/>
              </w:rPr>
              <w:t>1. Định mức phân bổ vốn ngân sách trung ương cho các bộ, cơ quan trung ương và địa phương</w:t>
            </w:r>
          </w:p>
          <w:p w14:paraId="467EF211" w14:textId="77777777" w:rsidR="00105C36" w:rsidRPr="002639A8" w:rsidRDefault="00105C36" w:rsidP="006C5E19">
            <w:pPr>
              <w:spacing w:before="120"/>
              <w:jc w:val="both"/>
              <w:rPr>
                <w:lang w:val="sv-SE"/>
              </w:rPr>
            </w:pPr>
            <w:r w:rsidRPr="002639A8">
              <w:rPr>
                <w:lang w:val="sv-SE"/>
              </w:rPr>
              <w:t>Căn cứ vào tổng mức vốn ngân sách trung ương của Chương trình được cấp có thẩm quyền giao và các nguyên tắc, tiêu chí phân bổ được quy định tại Quyết định này để phân bổ cho các bộ, cơ quan trung ương và địa phương để thực hiện các mục tiêu, nhiệm vụ của Chương trình;</w:t>
            </w:r>
          </w:p>
          <w:p w14:paraId="11971754" w14:textId="657CCC95" w:rsidR="00105C36" w:rsidRPr="002639A8" w:rsidRDefault="00105C36" w:rsidP="006C5E19">
            <w:pPr>
              <w:jc w:val="both"/>
              <w:rPr>
                <w:bCs/>
                <w:bdr w:val="none" w:sz="0" w:space="0" w:color="auto" w:frame="1"/>
                <w:lang w:val="sv-SE"/>
              </w:rPr>
            </w:pPr>
          </w:p>
        </w:tc>
        <w:tc>
          <w:tcPr>
            <w:tcW w:w="3178" w:type="dxa"/>
            <w:vAlign w:val="center"/>
          </w:tcPr>
          <w:p w14:paraId="6C66A37E" w14:textId="72BF38C9" w:rsidR="00F95267" w:rsidRPr="002639A8" w:rsidRDefault="00F95267" w:rsidP="006C5E19">
            <w:pPr>
              <w:jc w:val="both"/>
              <w:rPr>
                <w:lang w:val="sv-SE"/>
              </w:rPr>
            </w:pPr>
            <w:r w:rsidRPr="002639A8">
              <w:rPr>
                <w:lang w:val="sv-SE"/>
              </w:rPr>
              <w:t>Bảo đảm tính hợp hiến, hợp pháp, thống nhất với quy định của Trung ương.</w:t>
            </w:r>
          </w:p>
        </w:tc>
        <w:tc>
          <w:tcPr>
            <w:tcW w:w="2327" w:type="dxa"/>
            <w:vAlign w:val="center"/>
          </w:tcPr>
          <w:p w14:paraId="389AF888" w14:textId="69E65948" w:rsidR="00F95267" w:rsidRPr="002639A8" w:rsidRDefault="00F95267" w:rsidP="006C5E19">
            <w:pPr>
              <w:jc w:val="both"/>
              <w:rPr>
                <w:lang w:val="sv-SE"/>
              </w:rPr>
            </w:pPr>
            <w:r w:rsidRPr="002639A8">
              <w:t>Tiếp tục kế thừa</w:t>
            </w:r>
          </w:p>
        </w:tc>
      </w:tr>
      <w:tr w:rsidR="00F95267" w:rsidRPr="002639A8" w14:paraId="5143E4AB" w14:textId="77777777" w:rsidTr="006C5E19">
        <w:trPr>
          <w:trHeight w:val="1237"/>
        </w:trPr>
        <w:tc>
          <w:tcPr>
            <w:tcW w:w="3969" w:type="dxa"/>
            <w:vAlign w:val="center"/>
          </w:tcPr>
          <w:p w14:paraId="4ADE127F" w14:textId="5E2C0E60" w:rsidR="00F95267" w:rsidRPr="006C5E19" w:rsidRDefault="00105C36" w:rsidP="006C5E19">
            <w:pPr>
              <w:jc w:val="both"/>
              <w:rPr>
                <w:bCs/>
                <w:lang w:val="sv-SE"/>
              </w:rPr>
            </w:pPr>
            <w:r w:rsidRPr="006C5E19">
              <w:rPr>
                <w:bCs/>
                <w:lang w:val="sv-SE"/>
              </w:rPr>
              <w:lastRenderedPageBreak/>
              <w:t>Tại khoản 2</w:t>
            </w:r>
            <w:r w:rsidR="006C5E19" w:rsidRPr="006C5E19">
              <w:rPr>
                <w:bCs/>
                <w:lang w:val="sv-SE"/>
              </w:rPr>
              <w:t>, khoản 3,</w:t>
            </w:r>
            <w:r w:rsidRPr="006C5E19">
              <w:rPr>
                <w:bCs/>
                <w:lang w:val="sv-SE"/>
              </w:rPr>
              <w:t xml:space="preserve"> Điều 6:</w:t>
            </w:r>
          </w:p>
          <w:p w14:paraId="7EF1A42B" w14:textId="77777777" w:rsidR="006C5E19" w:rsidRPr="006C5E19" w:rsidRDefault="006C5E19" w:rsidP="006C5E19">
            <w:pPr>
              <w:jc w:val="both"/>
              <w:rPr>
                <w:spacing w:val="-8"/>
                <w:lang w:val="sv-SE"/>
              </w:rPr>
            </w:pPr>
            <w:r w:rsidRPr="006C5E19">
              <w:rPr>
                <w:spacing w:val="-8"/>
                <w:lang w:val="sv-SE"/>
              </w:rPr>
              <w:t xml:space="preserve">2. Định mức phân bổ vốn ngân sách Thành phố tại điểm a khoản 1 điều này: </w:t>
            </w:r>
          </w:p>
          <w:p w14:paraId="33F6894D" w14:textId="77777777" w:rsidR="00105C36" w:rsidRPr="006C5E19" w:rsidRDefault="006C5E19" w:rsidP="006C5E19">
            <w:pPr>
              <w:jc w:val="both"/>
              <w:rPr>
                <w:lang w:val="sv-SE"/>
              </w:rPr>
            </w:pPr>
            <w:r w:rsidRPr="006C5E19">
              <w:rPr>
                <w:lang w:val="sv-SE"/>
              </w:rPr>
              <w:t>Căn cứ đề xuất của các Sở, ngành, cơ quan, đơn vị thuộc Thành phố để thực hiện mục tiêu, chỉ tiêu, nhiệm vụ, hoạt động của Chương trình và các nguyên tắc phân bổ tại Nghị quyết này, Sở Tài chính tổng hợp và phối hợp với các cơ quan liên quan xây dựng phương án phân bổ, bố trí vốn chi thường xuyên ngân sách Thành phố cho các đơn vị thuộc Thành phố theo quy định.</w:t>
            </w:r>
          </w:p>
          <w:p w14:paraId="5B931E69" w14:textId="77777777" w:rsidR="006C5E19" w:rsidRPr="006C5E19" w:rsidRDefault="006C5E19" w:rsidP="006C5E19">
            <w:pPr>
              <w:jc w:val="both"/>
              <w:rPr>
                <w:spacing w:val="-8"/>
                <w:lang w:val="sv-SE"/>
              </w:rPr>
            </w:pPr>
            <w:r w:rsidRPr="006C5E19">
              <w:rPr>
                <w:spacing w:val="-8"/>
                <w:lang w:val="sv-SE"/>
              </w:rPr>
              <w:t xml:space="preserve">3. Định mức phân bổ vốn ngân sách Thành phố tại điểm b khoản 1 điều này: </w:t>
            </w:r>
          </w:p>
          <w:p w14:paraId="3602935D" w14:textId="77777777" w:rsidR="006C5E19" w:rsidRPr="006C5E19" w:rsidRDefault="006C5E19" w:rsidP="006C5E19">
            <w:pPr>
              <w:jc w:val="both"/>
              <w:rPr>
                <w:lang w:val="sv-SE"/>
              </w:rPr>
            </w:pPr>
            <w:r w:rsidRPr="006C5E19">
              <w:rPr>
                <w:lang w:val="sv-SE"/>
              </w:rPr>
              <w:t>a) Định mức phân bổ vốn chi thường xuyên: Không vượt quá 10 % tổng kinh phí được hỗ trợ.</w:t>
            </w:r>
          </w:p>
          <w:p w14:paraId="1BDC1BDF" w14:textId="77777777" w:rsidR="006C5E19" w:rsidRPr="006C5E19" w:rsidRDefault="006C5E19" w:rsidP="006C5E19">
            <w:pPr>
              <w:jc w:val="both"/>
              <w:rPr>
                <w:lang w:val="sv-SE"/>
              </w:rPr>
            </w:pPr>
            <w:r w:rsidRPr="006C5E19">
              <w:rPr>
                <w:lang w:val="sv-SE"/>
              </w:rPr>
              <w:t>b) Định mức phân bổ vốn đầu tư phát triển: Không vượt quá 90 % tổng kinh phí được hỗ trợ.</w:t>
            </w:r>
          </w:p>
          <w:p w14:paraId="4BD91B98" w14:textId="2E9F581D" w:rsidR="006C5E19" w:rsidRPr="006C5E19" w:rsidRDefault="006C5E19" w:rsidP="006C5E19">
            <w:pPr>
              <w:jc w:val="both"/>
              <w:rPr>
                <w:lang w:val="sv-SE"/>
              </w:rPr>
            </w:pPr>
            <w:r w:rsidRPr="006C5E19">
              <w:rPr>
                <w:lang w:val="sv-SE"/>
              </w:rPr>
              <w:t xml:space="preserve">Căn cứ Danh mục Kế hoạch vốn đầu tư phát triển hỗ trợ từ ngân sách Thành phố trung hạn 05 năm và hằng năm được HĐND Thành phố thông qua, Ủy ban nhân dân các xã xây dựng phương </w:t>
            </w:r>
            <w:r w:rsidRPr="006C5E19">
              <w:rPr>
                <w:lang w:val="sv-SE"/>
              </w:rPr>
              <w:lastRenderedPageBreak/>
              <w:t xml:space="preserve">án phân bổ vốn cụ thể cho các đơn vị để thực hiện các nội dung của Chương trình, trình Hội đồng nhân dân cùng cấp quyết định, bảo đảm thực hiện hiệu quả nguồn vốn được giao theo các nguyên tắc ưu tiên hỗ trợ quy định tại </w:t>
            </w:r>
            <w:bookmarkStart w:id="5" w:name="tc_2"/>
            <w:r w:rsidRPr="006C5E19">
              <w:rPr>
                <w:lang w:val="sv-SE"/>
              </w:rPr>
              <w:t>Điều 3, Điều 4, Điều 5 Nghị quyết</w:t>
            </w:r>
            <w:bookmarkEnd w:id="5"/>
            <w:r w:rsidRPr="006C5E19">
              <w:rPr>
                <w:lang w:val="sv-SE"/>
              </w:rPr>
              <w:t xml:space="preserve"> này. Đồng thời cân đối Ngân sách cấp xã phần còn lại để đảm bảo hoàn thành Dự án tránh nợ đọng XDCB.</w:t>
            </w:r>
          </w:p>
        </w:tc>
        <w:tc>
          <w:tcPr>
            <w:tcW w:w="5272" w:type="dxa"/>
            <w:vAlign w:val="center"/>
          </w:tcPr>
          <w:p w14:paraId="28583418" w14:textId="77777777" w:rsidR="00F95267" w:rsidRPr="002639A8" w:rsidRDefault="00105C36" w:rsidP="006C5E19">
            <w:pPr>
              <w:jc w:val="both"/>
              <w:rPr>
                <w:bCs/>
                <w:bdr w:val="none" w:sz="0" w:space="0" w:color="auto" w:frame="1"/>
                <w:lang w:val="sv-SE"/>
              </w:rPr>
            </w:pPr>
            <w:r w:rsidRPr="002639A8">
              <w:rPr>
                <w:bCs/>
                <w:bdr w:val="none" w:sz="0" w:space="0" w:color="auto" w:frame="1"/>
                <w:lang w:val="sv-SE"/>
              </w:rPr>
              <w:lastRenderedPageBreak/>
              <w:t>Khoản 2, 3, Điều 6, Quyết định số 16/2026/QĐ-TTg ngày 15/4/2026:</w:t>
            </w:r>
          </w:p>
          <w:p w14:paraId="76B4ABAB" w14:textId="77777777" w:rsidR="00105C36" w:rsidRPr="002639A8" w:rsidRDefault="00105C36" w:rsidP="006C5E19">
            <w:pPr>
              <w:jc w:val="both"/>
              <w:rPr>
                <w:bCs/>
                <w:bdr w:val="none" w:sz="0" w:space="0" w:color="auto" w:frame="1"/>
                <w:lang w:val="sv-SE"/>
              </w:rPr>
            </w:pPr>
            <w:r w:rsidRPr="002639A8">
              <w:rPr>
                <w:bCs/>
                <w:bdr w:val="none" w:sz="0" w:space="0" w:color="auto" w:frame="1"/>
                <w:lang w:val="sv-SE"/>
              </w:rPr>
              <w:t>'2. Định mức phân bổ vốn ngân sách trung ương tại các bộ, cơ quan trung ương</w:t>
            </w:r>
          </w:p>
          <w:p w14:paraId="0C2AB6C9" w14:textId="77777777" w:rsidR="00105C36" w:rsidRPr="002639A8" w:rsidRDefault="00105C36" w:rsidP="006C5E19">
            <w:pPr>
              <w:jc w:val="both"/>
              <w:rPr>
                <w:bCs/>
                <w:bdr w:val="none" w:sz="0" w:space="0" w:color="auto" w:frame="1"/>
                <w:lang w:val="sv-SE"/>
              </w:rPr>
            </w:pPr>
            <w:r w:rsidRPr="002639A8">
              <w:rPr>
                <w:bCs/>
                <w:bdr w:val="none" w:sz="0" w:space="0" w:color="auto" w:frame="1"/>
                <w:lang w:val="sv-SE"/>
              </w:rPr>
              <w:t>Căn cứ tổng dự toán, kế hoạch vốn ngân sách trung ương thực hiện Chương trình được Thủ tướng Chính phủ giao, các bộ, cơ quan trung ương phân bổ cho các đơn vị sử dụng ngân sách nhà nước để thực hiện nhiệm vụ quản lý, chỉ đạo, hướng dẫn, tổ chức triển khai các nội dung của Chương trình cấp quốc gia, quy mô liên vùng, liên tỉnh, nhiệm vụ đặc thù, nhiệm vụ trọng yếu về quốc phòng, an ninh quốc gia và các nhiệm vụ được cấp có thẩm quyền giao; đảm bảo không trùng lặp nội dung chi, đối tượng thực hiện với các chương trình mục tiêu quốc gia, các chương trình, dự án và các nhiệm vụ chi khác.</w:t>
            </w:r>
          </w:p>
          <w:p w14:paraId="5DB2F3A4" w14:textId="77777777" w:rsidR="00105C36" w:rsidRPr="002639A8" w:rsidRDefault="00105C36" w:rsidP="006C5E19">
            <w:pPr>
              <w:jc w:val="both"/>
              <w:rPr>
                <w:bCs/>
                <w:bdr w:val="none" w:sz="0" w:space="0" w:color="auto" w:frame="1"/>
                <w:lang w:val="sv-SE"/>
              </w:rPr>
            </w:pPr>
            <w:r w:rsidRPr="002639A8">
              <w:rPr>
                <w:bCs/>
                <w:bdr w:val="none" w:sz="0" w:space="0" w:color="auto" w:frame="1"/>
                <w:lang w:val="sv-SE"/>
              </w:rPr>
              <w:t>3. Định mức phân bổ vốn ngân sách trung ương tại các địa phương</w:t>
            </w:r>
          </w:p>
          <w:p w14:paraId="63046484" w14:textId="3539C461" w:rsidR="00105C36" w:rsidRPr="002639A8" w:rsidRDefault="00105C36" w:rsidP="006C5E19">
            <w:pPr>
              <w:jc w:val="both"/>
              <w:rPr>
                <w:bCs/>
                <w:bdr w:val="none" w:sz="0" w:space="0" w:color="auto" w:frame="1"/>
                <w:lang w:val="sv-SE"/>
              </w:rPr>
            </w:pPr>
            <w:r w:rsidRPr="002639A8">
              <w:rPr>
                <w:bCs/>
                <w:bdr w:val="none" w:sz="0" w:space="0" w:color="auto" w:frame="1"/>
                <w:lang w:val="sv-SE"/>
              </w:rPr>
              <w:t xml:space="preserve">Căn cứ tổng dự toán, kế hoạch vốn ngân sách trung ương thực hiện Chương trình được Thủ tướng Chính phủ giao; Nghị quyết của Hội đồng nhân dân cấp tỉnh quy định nguyên tắc, tiêu chí, định mức phân bổ ngân sách nhà nước của Chương trình và điều kiện thực tế của địa phương, Ủy ban nhân dân cấp tỉnh xây dựng phương án phân bổ vốn ngân sách trung ương và các nguồn lực lồng ghép cho cấp tỉnh, cấp xã để thực hiện </w:t>
            </w:r>
            <w:r w:rsidRPr="002639A8">
              <w:rPr>
                <w:bCs/>
                <w:bdr w:val="none" w:sz="0" w:space="0" w:color="auto" w:frame="1"/>
                <w:lang w:val="sv-SE"/>
              </w:rPr>
              <w:lastRenderedPageBreak/>
              <w:t>các mục tiêu, nhiệm vụ của Chương trình trên địa bàn, trình Hội đồng nhân dân cùng cấp quyết định hoặc phân cấp cho Hội đồng nhân dân cấp xã quyết định phân bổ chi tiết nội dung, hoạt động, lĩnh vực chi, danh mục dự án đầu tư công của Chương trình trên địa bàn xã; bảo đảm ưu tiên phân bổ vốn ngân sách trung ương cho các xã, thôn đặc biệt khó khăn, vùng đồng bào DTTS&amp;MN, ATK, biên giới và hải đảo; không trùng lặp nội dung, đối tượng với các chương trình mục tiêu quốc gia, chương trình, dự án khác thực hiện trên cùng địa bàn.</w:t>
            </w:r>
          </w:p>
        </w:tc>
        <w:tc>
          <w:tcPr>
            <w:tcW w:w="3178" w:type="dxa"/>
            <w:vAlign w:val="center"/>
          </w:tcPr>
          <w:p w14:paraId="3A91150A" w14:textId="13C82693" w:rsidR="00F95267" w:rsidRPr="002639A8" w:rsidRDefault="00F95267" w:rsidP="006C5E19">
            <w:pPr>
              <w:jc w:val="both"/>
              <w:rPr>
                <w:lang w:val="sv-SE"/>
              </w:rPr>
            </w:pPr>
            <w:r w:rsidRPr="002639A8">
              <w:rPr>
                <w:lang w:val="sv-SE"/>
              </w:rPr>
              <w:lastRenderedPageBreak/>
              <w:t>Bảo đảm tính hợp hiến, hợp pháp, thống nhất với quy định của Trung ương.</w:t>
            </w:r>
          </w:p>
        </w:tc>
        <w:tc>
          <w:tcPr>
            <w:tcW w:w="2327" w:type="dxa"/>
            <w:vAlign w:val="center"/>
          </w:tcPr>
          <w:p w14:paraId="6AE0E87D" w14:textId="08A24329" w:rsidR="00F95267" w:rsidRPr="002639A8" w:rsidRDefault="00F95267" w:rsidP="006C5E19">
            <w:pPr>
              <w:jc w:val="both"/>
              <w:rPr>
                <w:lang w:val="sv-SE"/>
              </w:rPr>
            </w:pPr>
            <w:r w:rsidRPr="002639A8">
              <w:rPr>
                <w:lang w:val="sv-SE"/>
              </w:rPr>
              <w:t>Tiếp tục kế thừa</w:t>
            </w:r>
            <w:r w:rsidR="00105C36" w:rsidRPr="002639A8">
              <w:rPr>
                <w:lang w:val="sv-SE"/>
              </w:rPr>
              <w:t xml:space="preserve"> và quy định chi tiết phù hợp với thực tế của Thành phố.</w:t>
            </w:r>
          </w:p>
        </w:tc>
      </w:tr>
    </w:tbl>
    <w:p w14:paraId="3CD8A9D2" w14:textId="40DEDC6B" w:rsidR="001D70D7" w:rsidRPr="005827A9" w:rsidRDefault="001D70D7" w:rsidP="005D7CD2">
      <w:pPr>
        <w:spacing w:before="120" w:after="120"/>
        <w:ind w:firstLine="284"/>
        <w:rPr>
          <w:b/>
          <w:sz w:val="26"/>
          <w:szCs w:val="26"/>
          <w:lang w:val="vi-VN"/>
        </w:rPr>
      </w:pPr>
      <w:r w:rsidRPr="009E3763">
        <w:rPr>
          <w:b/>
          <w:sz w:val="26"/>
          <w:szCs w:val="26"/>
          <w:lang w:val="vi-VN"/>
        </w:rPr>
        <w:lastRenderedPageBreak/>
        <w:t>3.</w:t>
      </w:r>
      <w:r w:rsidR="000971AC" w:rsidRPr="009E3763">
        <w:rPr>
          <w:b/>
          <w:sz w:val="26"/>
          <w:szCs w:val="26"/>
          <w:lang w:val="vi-VN"/>
        </w:rPr>
        <w:t xml:space="preserve"> </w:t>
      </w:r>
      <w:r w:rsidRPr="009E3763">
        <w:rPr>
          <w:b/>
          <w:sz w:val="26"/>
          <w:szCs w:val="26"/>
          <w:lang w:val="vi-VN"/>
        </w:rPr>
        <w:t>Điều ước quốc tế có liên quan đến chính sách/dự thảo</w:t>
      </w:r>
      <w:r w:rsidR="003C0E59" w:rsidRPr="009E3763">
        <w:rPr>
          <w:b/>
          <w:sz w:val="26"/>
          <w:szCs w:val="26"/>
          <w:lang w:val="vi-VN"/>
        </w:rPr>
        <w:t xml:space="preserve">: </w:t>
      </w:r>
      <w:r w:rsidR="003C0E59" w:rsidRPr="009E3763">
        <w:rPr>
          <w:bCs/>
          <w:sz w:val="26"/>
          <w:szCs w:val="26"/>
          <w:lang w:val="vi-VN"/>
        </w:rPr>
        <w:t>Không có.</w:t>
      </w:r>
    </w:p>
    <w:sectPr w:rsidR="001D70D7" w:rsidRPr="005827A9" w:rsidSect="002C771F">
      <w:headerReference w:type="default" r:id="rId9"/>
      <w:headerReference w:type="first" r:id="rId10"/>
      <w:pgSz w:w="16840" w:h="11907" w:orient="landscape" w:code="9"/>
      <w:pgMar w:top="1134" w:right="851" w:bottom="1134" w:left="1134"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E937F" w14:textId="77777777" w:rsidR="001A2227" w:rsidRDefault="001A2227" w:rsidP="00332417">
      <w:r>
        <w:separator/>
      </w:r>
    </w:p>
  </w:endnote>
  <w:endnote w:type="continuationSeparator" w:id="0">
    <w:p w14:paraId="4128882D" w14:textId="77777777" w:rsidR="001A2227" w:rsidRDefault="001A2227" w:rsidP="0033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B92C6" w14:textId="77777777" w:rsidR="001A2227" w:rsidRDefault="001A2227" w:rsidP="00332417">
      <w:r>
        <w:separator/>
      </w:r>
    </w:p>
  </w:footnote>
  <w:footnote w:type="continuationSeparator" w:id="0">
    <w:p w14:paraId="67882722" w14:textId="77777777" w:rsidR="001A2227" w:rsidRDefault="001A2227" w:rsidP="003324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52570509"/>
      <w:docPartObj>
        <w:docPartGallery w:val="Page Numbers (Top of Page)"/>
        <w:docPartUnique/>
      </w:docPartObj>
    </w:sdtPr>
    <w:sdtEndPr>
      <w:rPr>
        <w:noProof/>
      </w:rPr>
    </w:sdtEndPr>
    <w:sdtContent>
      <w:p w14:paraId="250C3D21" w14:textId="27ABC66F" w:rsidR="001C7E80" w:rsidRPr="009E3763" w:rsidRDefault="001C7E80">
        <w:pPr>
          <w:pStyle w:val="Header"/>
          <w:jc w:val="center"/>
          <w:rPr>
            <w:rFonts w:ascii="Times New Roman" w:hAnsi="Times New Roman" w:cs="Times New Roman"/>
          </w:rPr>
        </w:pPr>
        <w:r w:rsidRPr="009E3763">
          <w:rPr>
            <w:rFonts w:ascii="Times New Roman" w:hAnsi="Times New Roman" w:cs="Times New Roman"/>
          </w:rPr>
          <w:fldChar w:fldCharType="begin"/>
        </w:r>
        <w:r w:rsidRPr="009E3763">
          <w:rPr>
            <w:rFonts w:ascii="Times New Roman" w:hAnsi="Times New Roman" w:cs="Times New Roman"/>
          </w:rPr>
          <w:instrText xml:space="preserve"> PAGE   \* MERGEFORMAT </w:instrText>
        </w:r>
        <w:r w:rsidRPr="009E3763">
          <w:rPr>
            <w:rFonts w:ascii="Times New Roman" w:hAnsi="Times New Roman" w:cs="Times New Roman"/>
          </w:rPr>
          <w:fldChar w:fldCharType="separate"/>
        </w:r>
        <w:r w:rsidR="00C60E00">
          <w:rPr>
            <w:rFonts w:ascii="Times New Roman" w:hAnsi="Times New Roman" w:cs="Times New Roman"/>
            <w:noProof/>
          </w:rPr>
          <w:t>10</w:t>
        </w:r>
        <w:r w:rsidRPr="009E3763">
          <w:rPr>
            <w:rFonts w:ascii="Times New Roman" w:hAnsi="Times New Roman" w:cs="Times New Roman"/>
            <w:noProof/>
          </w:rPr>
          <w:fldChar w:fldCharType="end"/>
        </w:r>
      </w:p>
    </w:sdtContent>
  </w:sdt>
  <w:p w14:paraId="6191D20F" w14:textId="77777777" w:rsidR="00322C1B" w:rsidRDefault="00322C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082436"/>
      <w:docPartObj>
        <w:docPartGallery w:val="Page Numbers (Top of Page)"/>
        <w:docPartUnique/>
      </w:docPartObj>
    </w:sdtPr>
    <w:sdtEndPr>
      <w:rPr>
        <w:rFonts w:ascii="Times New Roman" w:hAnsi="Times New Roman" w:cs="Times New Roman"/>
        <w:noProof/>
        <w:sz w:val="26"/>
        <w:szCs w:val="26"/>
      </w:rPr>
    </w:sdtEndPr>
    <w:sdtContent>
      <w:p w14:paraId="21BA5E10" w14:textId="0751C074" w:rsidR="00332417" w:rsidRPr="00332417" w:rsidRDefault="00332417">
        <w:pPr>
          <w:pStyle w:val="Header"/>
          <w:jc w:val="center"/>
          <w:rPr>
            <w:rFonts w:ascii="Times New Roman" w:hAnsi="Times New Roman" w:cs="Times New Roman"/>
            <w:sz w:val="26"/>
            <w:szCs w:val="26"/>
          </w:rPr>
        </w:pPr>
        <w:r w:rsidRPr="001C7E80">
          <w:rPr>
            <w:rFonts w:ascii="Times New Roman" w:hAnsi="Times New Roman" w:cs="Times New Roman"/>
            <w:color w:val="FFFFFF" w:themeColor="background1"/>
            <w:sz w:val="26"/>
            <w:szCs w:val="26"/>
          </w:rPr>
          <w:fldChar w:fldCharType="begin"/>
        </w:r>
        <w:r w:rsidRPr="001C7E80">
          <w:rPr>
            <w:rFonts w:ascii="Times New Roman" w:hAnsi="Times New Roman" w:cs="Times New Roman"/>
            <w:color w:val="FFFFFF" w:themeColor="background1"/>
            <w:sz w:val="26"/>
            <w:szCs w:val="26"/>
          </w:rPr>
          <w:instrText xml:space="preserve"> PAGE   \* MERGEFORMAT </w:instrText>
        </w:r>
        <w:r w:rsidRPr="001C7E80">
          <w:rPr>
            <w:rFonts w:ascii="Times New Roman" w:hAnsi="Times New Roman" w:cs="Times New Roman"/>
            <w:color w:val="FFFFFF" w:themeColor="background1"/>
            <w:sz w:val="26"/>
            <w:szCs w:val="26"/>
          </w:rPr>
          <w:fldChar w:fldCharType="separate"/>
        </w:r>
        <w:r w:rsidR="00C60E00">
          <w:rPr>
            <w:rFonts w:ascii="Times New Roman" w:hAnsi="Times New Roman" w:cs="Times New Roman"/>
            <w:noProof/>
            <w:color w:val="FFFFFF" w:themeColor="background1"/>
            <w:sz w:val="26"/>
            <w:szCs w:val="26"/>
          </w:rPr>
          <w:t>1</w:t>
        </w:r>
        <w:r w:rsidRPr="001C7E80">
          <w:rPr>
            <w:rFonts w:ascii="Times New Roman" w:hAnsi="Times New Roman" w:cs="Times New Roman"/>
            <w:noProof/>
            <w:color w:val="FFFFFF" w:themeColor="background1"/>
            <w:sz w:val="26"/>
            <w:szCs w:val="26"/>
          </w:rPr>
          <w:fldChar w:fldCharType="end"/>
        </w:r>
      </w:p>
    </w:sdtContent>
  </w:sdt>
  <w:p w14:paraId="05B745A9" w14:textId="77777777" w:rsidR="00332417" w:rsidRDefault="003324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B65"/>
    <w:multiLevelType w:val="hybridMultilevel"/>
    <w:tmpl w:val="1182FCA4"/>
    <w:lvl w:ilvl="0" w:tplc="CB0E7A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D666F"/>
    <w:multiLevelType w:val="hybridMultilevel"/>
    <w:tmpl w:val="7F903CEA"/>
    <w:lvl w:ilvl="0" w:tplc="3DA40E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91BDC"/>
    <w:multiLevelType w:val="multilevel"/>
    <w:tmpl w:val="FEC45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30"/>
    <w:rsid w:val="000200CC"/>
    <w:rsid w:val="0002366C"/>
    <w:rsid w:val="00034649"/>
    <w:rsid w:val="0005561A"/>
    <w:rsid w:val="000663A3"/>
    <w:rsid w:val="00085139"/>
    <w:rsid w:val="000868A1"/>
    <w:rsid w:val="000971AC"/>
    <w:rsid w:val="000B04AB"/>
    <w:rsid w:val="000B390E"/>
    <w:rsid w:val="000C662C"/>
    <w:rsid w:val="000E4426"/>
    <w:rsid w:val="000E53C5"/>
    <w:rsid w:val="000F02E9"/>
    <w:rsid w:val="00105C36"/>
    <w:rsid w:val="00107AB7"/>
    <w:rsid w:val="00107B58"/>
    <w:rsid w:val="00113730"/>
    <w:rsid w:val="00113943"/>
    <w:rsid w:val="00113ADB"/>
    <w:rsid w:val="001267B5"/>
    <w:rsid w:val="00154173"/>
    <w:rsid w:val="001605B3"/>
    <w:rsid w:val="00162A59"/>
    <w:rsid w:val="0017628A"/>
    <w:rsid w:val="0018372F"/>
    <w:rsid w:val="001906BA"/>
    <w:rsid w:val="001A2227"/>
    <w:rsid w:val="001A5E0C"/>
    <w:rsid w:val="001B578C"/>
    <w:rsid w:val="001B6E1F"/>
    <w:rsid w:val="001C36CC"/>
    <w:rsid w:val="001C7E80"/>
    <w:rsid w:val="001D0D60"/>
    <w:rsid w:val="001D3270"/>
    <w:rsid w:val="001D40A6"/>
    <w:rsid w:val="001D4E89"/>
    <w:rsid w:val="001D5D73"/>
    <w:rsid w:val="001D70D7"/>
    <w:rsid w:val="001E360C"/>
    <w:rsid w:val="001E5975"/>
    <w:rsid w:val="002052F1"/>
    <w:rsid w:val="00205596"/>
    <w:rsid w:val="00205984"/>
    <w:rsid w:val="00225CE0"/>
    <w:rsid w:val="00241F4B"/>
    <w:rsid w:val="0025734B"/>
    <w:rsid w:val="002639A8"/>
    <w:rsid w:val="00267599"/>
    <w:rsid w:val="00275689"/>
    <w:rsid w:val="002A2356"/>
    <w:rsid w:val="002A3CA1"/>
    <w:rsid w:val="002C6EC1"/>
    <w:rsid w:val="002C771F"/>
    <w:rsid w:val="002D1FD8"/>
    <w:rsid w:val="002D32CD"/>
    <w:rsid w:val="002D7A4E"/>
    <w:rsid w:val="002E0302"/>
    <w:rsid w:val="002E7E08"/>
    <w:rsid w:val="002F57A1"/>
    <w:rsid w:val="00311CFE"/>
    <w:rsid w:val="00320C2A"/>
    <w:rsid w:val="00322C1B"/>
    <w:rsid w:val="00332417"/>
    <w:rsid w:val="003445D7"/>
    <w:rsid w:val="00344A30"/>
    <w:rsid w:val="0036749E"/>
    <w:rsid w:val="00386DA1"/>
    <w:rsid w:val="003C0E59"/>
    <w:rsid w:val="003D0E6F"/>
    <w:rsid w:val="003D1EE6"/>
    <w:rsid w:val="003D6C1D"/>
    <w:rsid w:val="003F0B3D"/>
    <w:rsid w:val="00402ED1"/>
    <w:rsid w:val="004041CD"/>
    <w:rsid w:val="00421075"/>
    <w:rsid w:val="00426698"/>
    <w:rsid w:val="00433DB4"/>
    <w:rsid w:val="00457535"/>
    <w:rsid w:val="00461C87"/>
    <w:rsid w:val="00467234"/>
    <w:rsid w:val="00474378"/>
    <w:rsid w:val="0048687A"/>
    <w:rsid w:val="00490583"/>
    <w:rsid w:val="00493275"/>
    <w:rsid w:val="004C7BC9"/>
    <w:rsid w:val="004D692F"/>
    <w:rsid w:val="004E3381"/>
    <w:rsid w:val="004E7976"/>
    <w:rsid w:val="004F0550"/>
    <w:rsid w:val="005416E4"/>
    <w:rsid w:val="00544C1C"/>
    <w:rsid w:val="00547E18"/>
    <w:rsid w:val="005827A9"/>
    <w:rsid w:val="00585BAD"/>
    <w:rsid w:val="00587D53"/>
    <w:rsid w:val="005C67C6"/>
    <w:rsid w:val="005C6970"/>
    <w:rsid w:val="005C78B5"/>
    <w:rsid w:val="005D7CD2"/>
    <w:rsid w:val="005F0FE0"/>
    <w:rsid w:val="005F39CA"/>
    <w:rsid w:val="005F3DDF"/>
    <w:rsid w:val="00607F49"/>
    <w:rsid w:val="00614C2F"/>
    <w:rsid w:val="00616BDD"/>
    <w:rsid w:val="0064515F"/>
    <w:rsid w:val="0065335A"/>
    <w:rsid w:val="00656A71"/>
    <w:rsid w:val="00657321"/>
    <w:rsid w:val="00661522"/>
    <w:rsid w:val="006633E9"/>
    <w:rsid w:val="0066640F"/>
    <w:rsid w:val="00666AB5"/>
    <w:rsid w:val="00667470"/>
    <w:rsid w:val="00670528"/>
    <w:rsid w:val="0068367C"/>
    <w:rsid w:val="00690F9A"/>
    <w:rsid w:val="006A117A"/>
    <w:rsid w:val="006A6DF7"/>
    <w:rsid w:val="006C3369"/>
    <w:rsid w:val="006C596F"/>
    <w:rsid w:val="006C5DE9"/>
    <w:rsid w:val="006C5E19"/>
    <w:rsid w:val="006E1A17"/>
    <w:rsid w:val="006E577D"/>
    <w:rsid w:val="006F1D7C"/>
    <w:rsid w:val="006F2F7B"/>
    <w:rsid w:val="007036E3"/>
    <w:rsid w:val="00713094"/>
    <w:rsid w:val="00730EC8"/>
    <w:rsid w:val="007369AC"/>
    <w:rsid w:val="00743E3C"/>
    <w:rsid w:val="00750B2B"/>
    <w:rsid w:val="00753010"/>
    <w:rsid w:val="00757854"/>
    <w:rsid w:val="00792ED2"/>
    <w:rsid w:val="007B78F1"/>
    <w:rsid w:val="007F07AD"/>
    <w:rsid w:val="007F13B5"/>
    <w:rsid w:val="007F6282"/>
    <w:rsid w:val="008036B4"/>
    <w:rsid w:val="00812667"/>
    <w:rsid w:val="00813CF0"/>
    <w:rsid w:val="0082113B"/>
    <w:rsid w:val="00842A27"/>
    <w:rsid w:val="0084484F"/>
    <w:rsid w:val="00847E7F"/>
    <w:rsid w:val="008520AF"/>
    <w:rsid w:val="00855CF7"/>
    <w:rsid w:val="008647F3"/>
    <w:rsid w:val="00880107"/>
    <w:rsid w:val="00890845"/>
    <w:rsid w:val="00896241"/>
    <w:rsid w:val="008A758A"/>
    <w:rsid w:val="008C35CF"/>
    <w:rsid w:val="008E4423"/>
    <w:rsid w:val="008F5D9D"/>
    <w:rsid w:val="0090270D"/>
    <w:rsid w:val="00907256"/>
    <w:rsid w:val="009168D0"/>
    <w:rsid w:val="009256F6"/>
    <w:rsid w:val="009337C5"/>
    <w:rsid w:val="00934F21"/>
    <w:rsid w:val="00940930"/>
    <w:rsid w:val="009445CB"/>
    <w:rsid w:val="009553D9"/>
    <w:rsid w:val="00956A7B"/>
    <w:rsid w:val="00970C13"/>
    <w:rsid w:val="00975827"/>
    <w:rsid w:val="0097781C"/>
    <w:rsid w:val="009843F5"/>
    <w:rsid w:val="00986508"/>
    <w:rsid w:val="00993475"/>
    <w:rsid w:val="00997F33"/>
    <w:rsid w:val="009A5C78"/>
    <w:rsid w:val="009B2562"/>
    <w:rsid w:val="009B457B"/>
    <w:rsid w:val="009D2E66"/>
    <w:rsid w:val="009D59A7"/>
    <w:rsid w:val="009E0150"/>
    <w:rsid w:val="009E1DE7"/>
    <w:rsid w:val="009E3763"/>
    <w:rsid w:val="009F49A9"/>
    <w:rsid w:val="009F6715"/>
    <w:rsid w:val="00A043CF"/>
    <w:rsid w:val="00A04611"/>
    <w:rsid w:val="00A11E63"/>
    <w:rsid w:val="00A15002"/>
    <w:rsid w:val="00A504C0"/>
    <w:rsid w:val="00A54061"/>
    <w:rsid w:val="00A545CC"/>
    <w:rsid w:val="00A54807"/>
    <w:rsid w:val="00A64433"/>
    <w:rsid w:val="00A76231"/>
    <w:rsid w:val="00A8323A"/>
    <w:rsid w:val="00A907CF"/>
    <w:rsid w:val="00AB6D8A"/>
    <w:rsid w:val="00AC3A89"/>
    <w:rsid w:val="00AD53D2"/>
    <w:rsid w:val="00AE7A3E"/>
    <w:rsid w:val="00B013AC"/>
    <w:rsid w:val="00B07829"/>
    <w:rsid w:val="00B32393"/>
    <w:rsid w:val="00B33D33"/>
    <w:rsid w:val="00B34044"/>
    <w:rsid w:val="00B36D92"/>
    <w:rsid w:val="00B56F7E"/>
    <w:rsid w:val="00B83716"/>
    <w:rsid w:val="00B86EEC"/>
    <w:rsid w:val="00B87770"/>
    <w:rsid w:val="00B914FD"/>
    <w:rsid w:val="00B934F0"/>
    <w:rsid w:val="00BA40CF"/>
    <w:rsid w:val="00BB3A97"/>
    <w:rsid w:val="00BD4BDF"/>
    <w:rsid w:val="00BE7978"/>
    <w:rsid w:val="00BF3994"/>
    <w:rsid w:val="00BF39F3"/>
    <w:rsid w:val="00C036C4"/>
    <w:rsid w:val="00C16CE1"/>
    <w:rsid w:val="00C16E59"/>
    <w:rsid w:val="00C232D4"/>
    <w:rsid w:val="00C50AD3"/>
    <w:rsid w:val="00C60E00"/>
    <w:rsid w:val="00C95FEE"/>
    <w:rsid w:val="00CB4624"/>
    <w:rsid w:val="00CC089C"/>
    <w:rsid w:val="00CC5662"/>
    <w:rsid w:val="00CD5418"/>
    <w:rsid w:val="00CE096A"/>
    <w:rsid w:val="00CF135D"/>
    <w:rsid w:val="00D00AEE"/>
    <w:rsid w:val="00D12190"/>
    <w:rsid w:val="00D20B61"/>
    <w:rsid w:val="00D23DF6"/>
    <w:rsid w:val="00D26977"/>
    <w:rsid w:val="00D30E89"/>
    <w:rsid w:val="00D313F2"/>
    <w:rsid w:val="00D413D8"/>
    <w:rsid w:val="00D51DEA"/>
    <w:rsid w:val="00D61BF8"/>
    <w:rsid w:val="00D66F80"/>
    <w:rsid w:val="00D67C26"/>
    <w:rsid w:val="00D93E83"/>
    <w:rsid w:val="00DA7831"/>
    <w:rsid w:val="00DB14C3"/>
    <w:rsid w:val="00DD205B"/>
    <w:rsid w:val="00DE3BA1"/>
    <w:rsid w:val="00DE7180"/>
    <w:rsid w:val="00DF14D1"/>
    <w:rsid w:val="00DF2443"/>
    <w:rsid w:val="00DF6850"/>
    <w:rsid w:val="00E00CA1"/>
    <w:rsid w:val="00E16D02"/>
    <w:rsid w:val="00E41D98"/>
    <w:rsid w:val="00E424DE"/>
    <w:rsid w:val="00E620D8"/>
    <w:rsid w:val="00E626D9"/>
    <w:rsid w:val="00E6356F"/>
    <w:rsid w:val="00E6596E"/>
    <w:rsid w:val="00E667BE"/>
    <w:rsid w:val="00E76D7B"/>
    <w:rsid w:val="00E831A1"/>
    <w:rsid w:val="00E867AB"/>
    <w:rsid w:val="00EA3AB5"/>
    <w:rsid w:val="00EB1607"/>
    <w:rsid w:val="00EB49D4"/>
    <w:rsid w:val="00EB68CB"/>
    <w:rsid w:val="00ED4027"/>
    <w:rsid w:val="00ED6ED8"/>
    <w:rsid w:val="00EE25B0"/>
    <w:rsid w:val="00EE7395"/>
    <w:rsid w:val="00F06FD0"/>
    <w:rsid w:val="00F22A80"/>
    <w:rsid w:val="00F37B1F"/>
    <w:rsid w:val="00F41BF2"/>
    <w:rsid w:val="00F539BE"/>
    <w:rsid w:val="00F60B40"/>
    <w:rsid w:val="00F640A4"/>
    <w:rsid w:val="00F64B87"/>
    <w:rsid w:val="00F66255"/>
    <w:rsid w:val="00F80031"/>
    <w:rsid w:val="00F95267"/>
    <w:rsid w:val="00FB0098"/>
    <w:rsid w:val="00FB1457"/>
    <w:rsid w:val="00FC3828"/>
    <w:rsid w:val="00FC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D427A"/>
  <w15:docId w15:val="{335ACE0D-C5EA-4E72-9C77-65ECC969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3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535"/>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3241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32417"/>
  </w:style>
  <w:style w:type="paragraph" w:styleId="Footer">
    <w:name w:val="footer"/>
    <w:basedOn w:val="Normal"/>
    <w:link w:val="FooterChar"/>
    <w:uiPriority w:val="99"/>
    <w:unhideWhenUsed/>
    <w:rsid w:val="0033241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32417"/>
  </w:style>
  <w:style w:type="paragraph" w:styleId="BalloonText">
    <w:name w:val="Balloon Text"/>
    <w:basedOn w:val="Normal"/>
    <w:link w:val="BalloonTextChar"/>
    <w:uiPriority w:val="99"/>
    <w:semiHidden/>
    <w:unhideWhenUsed/>
    <w:rsid w:val="00D66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80"/>
    <w:rPr>
      <w:rFonts w:ascii="Segoe UI" w:hAnsi="Segoe UI" w:cs="Segoe UI"/>
      <w:sz w:val="18"/>
      <w:szCs w:val="18"/>
    </w:rPr>
  </w:style>
  <w:style w:type="paragraph" w:styleId="NormalWeb">
    <w:name w:val="Normal (Web)"/>
    <w:basedOn w:val="Normal"/>
    <w:uiPriority w:val="99"/>
    <w:semiHidden/>
    <w:unhideWhenUsed/>
    <w:rsid w:val="009843F5"/>
    <w:pPr>
      <w:spacing w:before="100" w:beforeAutospacing="1" w:after="100" w:afterAutospacing="1"/>
    </w:pPr>
  </w:style>
  <w:style w:type="character" w:styleId="Hyperlink">
    <w:name w:val="Hyperlink"/>
    <w:basedOn w:val="DefaultParagraphFont"/>
    <w:uiPriority w:val="99"/>
    <w:unhideWhenUsed/>
    <w:rsid w:val="006E577D"/>
    <w:rPr>
      <w:color w:val="0000FF"/>
      <w:u w:val="single"/>
    </w:rPr>
  </w:style>
  <w:style w:type="character" w:customStyle="1" w:styleId="UnresolvedMention">
    <w:name w:val="Unresolved Mention"/>
    <w:basedOn w:val="DefaultParagraphFont"/>
    <w:uiPriority w:val="99"/>
    <w:semiHidden/>
    <w:unhideWhenUsed/>
    <w:rsid w:val="00F22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77604">
      <w:bodyDiv w:val="1"/>
      <w:marLeft w:val="0"/>
      <w:marRight w:val="0"/>
      <w:marTop w:val="0"/>
      <w:marBottom w:val="0"/>
      <w:divBdr>
        <w:top w:val="none" w:sz="0" w:space="0" w:color="auto"/>
        <w:left w:val="none" w:sz="0" w:space="0" w:color="auto"/>
        <w:bottom w:val="none" w:sz="0" w:space="0" w:color="auto"/>
        <w:right w:val="none" w:sz="0" w:space="0" w:color="auto"/>
      </w:divBdr>
    </w:div>
    <w:div w:id="156324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3F09A-BCA9-437E-9D11-6E8EA91F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NEW</cp:lastModifiedBy>
  <cp:revision>2</cp:revision>
  <cp:lastPrinted>2026-05-21T04:51:00Z</cp:lastPrinted>
  <dcterms:created xsi:type="dcterms:W3CDTF">2026-06-24T10:21:00Z</dcterms:created>
  <dcterms:modified xsi:type="dcterms:W3CDTF">2026-06-24T10:21:00Z</dcterms:modified>
</cp:coreProperties>
</file>